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AE9F3">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ascii="Times New Roman" w:hAnsi="Times New Roman" w:eastAsia="方正小标宋简体" w:cs="Times New Roman"/>
          <w:color w:val="000000" w:themeColor="text1"/>
          <w:sz w:val="44"/>
          <w:szCs w:val="44"/>
          <w:highlight w:val="none"/>
          <w:u w:val="none"/>
          <w:lang w:eastAsia="zh-CN"/>
          <w14:textFill>
            <w14:solidFill>
              <w14:schemeClr w14:val="tx1"/>
            </w14:solidFill>
          </w14:textFill>
        </w:rPr>
      </w:pPr>
    </w:p>
    <w:p w14:paraId="463370F9">
      <w:pPr>
        <w:keepNext w:val="0"/>
        <w:keepLines w:val="0"/>
        <w:pageBreakBefore w:val="0"/>
        <w:widowControl w:val="0"/>
        <w:shd w:val="clear" w:color="auto" w:fill="auto"/>
        <w:kinsoku/>
        <w:wordWrap/>
        <w:overflowPunct w:val="0"/>
        <w:topLinePunct w:val="0"/>
        <w:autoSpaceDE w:val="0"/>
        <w:autoSpaceDN w:val="0"/>
        <w:bidi w:val="0"/>
        <w:adjustRightInd w:val="0"/>
        <w:snapToGrid w:val="0"/>
        <w:spacing w:line="560" w:lineRule="exact"/>
        <w:jc w:val="center"/>
        <w:textAlignment w:val="auto"/>
        <w:outlineLvl w:val="9"/>
        <w:rPr>
          <w:rFonts w:hint="eastAsia" w:ascii="Times New Roman" w:hAnsi="Times New Roman" w:eastAsia="方正小标宋简体" w:cs="Times New Roman"/>
          <w:color w:val="000000" w:themeColor="text1"/>
          <w:sz w:val="44"/>
          <w:szCs w:val="44"/>
          <w:highlight w:val="none"/>
          <w:u w:val="none"/>
          <w:lang w:eastAsia="zh-CN"/>
          <w14:textFill>
            <w14:solidFill>
              <w14:schemeClr w14:val="tx1"/>
            </w14:solidFill>
          </w14:textFill>
        </w:rPr>
      </w:pPr>
      <w:r>
        <w:rPr>
          <w:rFonts w:hint="eastAsia" w:ascii="Times New Roman" w:hAnsi="Times New Roman" w:eastAsia="方正小标宋简体" w:cs="Times New Roman"/>
          <w:color w:val="000000" w:themeColor="text1"/>
          <w:sz w:val="44"/>
          <w:szCs w:val="44"/>
          <w:highlight w:val="none"/>
          <w:u w:val="none"/>
          <w:lang w:eastAsia="zh-CN"/>
          <w14:textFill>
            <w14:solidFill>
              <w14:schemeClr w14:val="tx1"/>
            </w14:solidFill>
          </w14:textFill>
        </w:rPr>
        <w:t>新疆生产建设兵团数据要素市场化配置改革</w:t>
      </w:r>
    </w:p>
    <w:p w14:paraId="5BDFCD11">
      <w:pPr>
        <w:keepNext w:val="0"/>
        <w:keepLines w:val="0"/>
        <w:pageBreakBefore w:val="0"/>
        <w:widowControl w:val="0"/>
        <w:shd w:val="clear" w:color="auto" w:fill="auto"/>
        <w:kinsoku/>
        <w:wordWrap/>
        <w:overflowPunct w:val="0"/>
        <w:topLinePunct w:val="0"/>
        <w:autoSpaceDE w:val="0"/>
        <w:autoSpaceDN w:val="0"/>
        <w:bidi w:val="0"/>
        <w:adjustRightInd w:val="0"/>
        <w:snapToGrid w:val="0"/>
        <w:spacing w:line="560" w:lineRule="exact"/>
        <w:jc w:val="center"/>
        <w:textAlignment w:val="auto"/>
        <w:outlineLvl w:val="9"/>
        <w:rPr>
          <w:rFonts w:hint="eastAsia" w:ascii="Times New Roman" w:hAnsi="Times New Roman" w:eastAsia="方正小标宋简体" w:cs="Times New Roman"/>
          <w:color w:val="000000" w:themeColor="text1"/>
          <w:sz w:val="44"/>
          <w:szCs w:val="44"/>
          <w:highlight w:val="none"/>
          <w:u w:val="none"/>
          <w:lang w:eastAsia="zh-CN"/>
          <w14:textFill>
            <w14:solidFill>
              <w14:schemeClr w14:val="tx1"/>
            </w14:solidFill>
          </w14:textFill>
        </w:rPr>
      </w:pPr>
      <w:r>
        <w:rPr>
          <w:rFonts w:hint="eastAsia" w:ascii="Times New Roman" w:hAnsi="Times New Roman" w:eastAsia="方正小标宋简体" w:cs="Times New Roman"/>
          <w:color w:val="000000" w:themeColor="text1"/>
          <w:sz w:val="44"/>
          <w:szCs w:val="44"/>
          <w:highlight w:val="none"/>
          <w:u w:val="none"/>
          <w:lang w:eastAsia="zh-CN"/>
          <w14:textFill>
            <w14:solidFill>
              <w14:schemeClr w14:val="tx1"/>
            </w14:solidFill>
          </w14:textFill>
        </w:rPr>
        <w:t>实施方案</w:t>
      </w:r>
    </w:p>
    <w:p w14:paraId="5DEB91F5">
      <w:pPr>
        <w:keepNext w:val="0"/>
        <w:keepLines w:val="0"/>
        <w:pageBreakBefore w:val="0"/>
        <w:widowControl w:val="0"/>
        <w:shd w:val="clear" w:color="auto" w:fill="auto"/>
        <w:kinsoku/>
        <w:wordWrap/>
        <w:overflowPunct w:val="0"/>
        <w:topLinePunct w:val="0"/>
        <w:autoSpaceDE w:val="0"/>
        <w:autoSpaceDN w:val="0"/>
        <w:bidi w:val="0"/>
        <w:adjustRightInd w:val="0"/>
        <w:snapToGrid w:val="0"/>
        <w:spacing w:line="560" w:lineRule="exact"/>
        <w:jc w:val="center"/>
        <w:textAlignment w:val="auto"/>
        <w:outlineLvl w:val="9"/>
        <w:rPr>
          <w:rFonts w:ascii="Times New Roman" w:hAnsi="Times New Roman" w:eastAsia="方正小标宋简体" w:cs="Times New Roman"/>
          <w:b w:val="0"/>
          <w:bCs/>
          <w:color w:val="000000" w:themeColor="text1"/>
          <w:sz w:val="44"/>
          <w:szCs w:val="44"/>
          <w:highlight w:val="none"/>
          <w:u w:val="none"/>
          <w:lang w:val="en-US" w:eastAsia="zh-CN"/>
          <w14:textFill>
            <w14:solidFill>
              <w14:schemeClr w14:val="tx1"/>
            </w14:solidFill>
          </w14:textFill>
        </w:rPr>
      </w:pPr>
      <w:r>
        <w:rPr>
          <w:rFonts w:ascii="Times New Roman" w:hAnsi="Times New Roman" w:eastAsia="楷体_GB2312" w:cs="Times New Roman"/>
          <w:b w:val="0"/>
          <w:bCs/>
          <w:color w:val="000000" w:themeColor="text1"/>
          <w:sz w:val="32"/>
          <w:szCs w:val="32"/>
          <w:highlight w:val="none"/>
          <w:u w:val="none"/>
          <w:lang w:val="en-US" w:eastAsia="zh-CN"/>
          <w14:textFill>
            <w14:solidFill>
              <w14:schemeClr w14:val="tx1"/>
            </w14:solidFill>
          </w14:textFill>
        </w:rPr>
        <w:t>（</w:t>
      </w:r>
      <w:r>
        <w:rPr>
          <w:rFonts w:hint="eastAsia" w:ascii="Times New Roman" w:hAnsi="Times New Roman" w:eastAsia="楷体_GB2312" w:cs="Times New Roman"/>
          <w:b w:val="0"/>
          <w:bCs/>
          <w:color w:val="000000" w:themeColor="text1"/>
          <w:sz w:val="32"/>
          <w:szCs w:val="32"/>
          <w:highlight w:val="none"/>
          <w:u w:val="none"/>
          <w:lang w:val="en-US" w:eastAsia="zh-CN"/>
          <w14:textFill>
            <w14:solidFill>
              <w14:schemeClr w14:val="tx1"/>
            </w14:solidFill>
          </w14:textFill>
        </w:rPr>
        <w:t>征求意见稿</w:t>
      </w:r>
      <w:r>
        <w:rPr>
          <w:rFonts w:ascii="Times New Roman" w:hAnsi="Times New Roman" w:eastAsia="楷体_GB2312" w:cs="Times New Roman"/>
          <w:b w:val="0"/>
          <w:bCs/>
          <w:color w:val="000000" w:themeColor="text1"/>
          <w:sz w:val="32"/>
          <w:szCs w:val="32"/>
          <w:highlight w:val="none"/>
          <w:u w:val="none"/>
          <w:lang w:val="en-US" w:eastAsia="zh-CN"/>
          <w14:textFill>
            <w14:solidFill>
              <w14:schemeClr w14:val="tx1"/>
            </w14:solidFill>
          </w14:textFill>
        </w:rPr>
        <w:t>）</w:t>
      </w:r>
    </w:p>
    <w:p w14:paraId="5096D98A">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000000" w:themeColor="text1"/>
          <w:sz w:val="32"/>
          <w:szCs w:val="32"/>
          <w:highlight w:val="none"/>
          <w:u w:val="none"/>
          <w14:textFill>
            <w14:solidFill>
              <w14:schemeClr w14:val="tx1"/>
            </w14:solidFill>
          </w14:textFill>
        </w:rPr>
      </w:pPr>
    </w:p>
    <w:p w14:paraId="35E54A00">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000000" w:themeColor="text1"/>
          <w:sz w:val="32"/>
          <w:szCs w:val="32"/>
          <w:highlight w:val="none"/>
          <w:u w:val="none"/>
          <w14:textFill>
            <w14:solidFill>
              <w14:schemeClr w14:val="tx1"/>
            </w14:solidFill>
          </w14:textFill>
        </w:rPr>
      </w:pP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为</w:t>
      </w:r>
      <w:r>
        <w:rPr>
          <w:rFonts w:ascii="Times New Roman" w:hAnsi="Times New Roman" w:eastAsia="仿宋_GB2312" w:cs="Times New Roman"/>
          <w:color w:val="000000" w:themeColor="text1"/>
          <w:sz w:val="32"/>
          <w:szCs w:val="32"/>
          <w:highlight w:val="none"/>
          <w:u w:val="none"/>
          <w14:textFill>
            <w14:solidFill>
              <w14:schemeClr w14:val="tx1"/>
            </w14:solidFill>
          </w14:textFill>
        </w:rPr>
        <w:t>加快推进兵团数据要素市场化配置改革，促进以数据为关键要素的数字经济高质量发展，</w:t>
      </w:r>
      <w:r>
        <w:rPr>
          <w:rFonts w:hint="default" w:ascii="Times New Roman" w:hAnsi="Times New Roman" w:eastAsia="仿宋_GB2312" w:cs="Times New Roman"/>
          <w:color w:val="000000" w:themeColor="text1"/>
          <w:kern w:val="2"/>
          <w:sz w:val="32"/>
          <w:szCs w:val="32"/>
          <w:vertAlign w:val="baseline"/>
          <w:lang w:val="en-US" w:eastAsia="zh-CN" w:bidi="ar-SA"/>
          <w14:textFill>
            <w14:solidFill>
              <w14:schemeClr w14:val="tx1"/>
            </w14:solidFill>
          </w14:textFill>
        </w:rPr>
        <w:t>根据《中共中央</w:t>
      </w:r>
      <w:r>
        <w:rPr>
          <w:rFonts w:hint="eastAsia" w:ascii="Times New Roman" w:hAnsi="Times New Roman" w:eastAsia="仿宋_GB2312" w:cs="Times New Roman"/>
          <w:color w:val="000000" w:themeColor="text1"/>
          <w:kern w:val="2"/>
          <w:sz w:val="32"/>
          <w:szCs w:val="32"/>
          <w:vertAlign w:val="baseli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2"/>
          <w:sz w:val="32"/>
          <w:szCs w:val="32"/>
          <w:vertAlign w:val="baseline"/>
          <w:lang w:val="en-US" w:eastAsia="zh-CN" w:bidi="ar-SA"/>
          <w14:textFill>
            <w14:solidFill>
              <w14:schemeClr w14:val="tx1"/>
            </w14:solidFill>
          </w14:textFill>
        </w:rPr>
        <w:t>国务院关于构建数据基础制度更好发挥数据要素作用的意见》《中共中央办公厅</w:t>
      </w:r>
      <w:r>
        <w:rPr>
          <w:rFonts w:hint="eastAsia" w:ascii="Times New Roman" w:hAnsi="Times New Roman" w:eastAsia="仿宋_GB2312" w:cs="Times New Roman"/>
          <w:color w:val="000000" w:themeColor="text1"/>
          <w:kern w:val="2"/>
          <w:sz w:val="32"/>
          <w:szCs w:val="32"/>
          <w:vertAlign w:val="baseli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2"/>
          <w:sz w:val="32"/>
          <w:szCs w:val="32"/>
          <w:vertAlign w:val="baseline"/>
          <w:lang w:val="en-US" w:eastAsia="zh-CN" w:bidi="ar-SA"/>
          <w14:textFill>
            <w14:solidFill>
              <w14:schemeClr w14:val="tx1"/>
            </w14:solidFill>
          </w14:textFill>
        </w:rPr>
        <w:t>国务院办公厅关于加快公共数据资源开发利用的意见》部署要求和《兵团公共数据管理办法</w:t>
      </w:r>
      <w:r>
        <w:rPr>
          <w:rFonts w:hint="eastAsia" w:ascii="Times New Roman" w:hAnsi="Times New Roman" w:eastAsia="仿宋_GB2312" w:cs="Times New Roman"/>
          <w:color w:val="000000" w:themeColor="text1"/>
          <w:kern w:val="2"/>
          <w:sz w:val="32"/>
          <w:szCs w:val="32"/>
          <w:vertAlign w:val="baseli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vertAlign w:val="baseline"/>
          <w:lang w:val="en-US" w:eastAsia="zh-CN" w:bidi="ar-SA"/>
          <w14:textFill>
            <w14:solidFill>
              <w14:schemeClr w14:val="tx1"/>
            </w14:solidFill>
          </w14:textFill>
        </w:rPr>
        <w:t>试行</w:t>
      </w:r>
      <w:r>
        <w:rPr>
          <w:rFonts w:hint="eastAsia" w:ascii="Times New Roman" w:hAnsi="Times New Roman" w:eastAsia="仿宋_GB2312" w:cs="Times New Roman"/>
          <w:color w:val="000000" w:themeColor="text1"/>
          <w:kern w:val="2"/>
          <w:sz w:val="32"/>
          <w:szCs w:val="32"/>
          <w:vertAlign w:val="baseli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vertAlign w:val="baseline"/>
          <w:lang w:val="en-US" w:eastAsia="zh-CN" w:bidi="ar-SA"/>
          <w14:textFill>
            <w14:solidFill>
              <w14:schemeClr w14:val="tx1"/>
            </w14:solidFill>
          </w14:textFill>
        </w:rPr>
        <w:t>》有关规定</w:t>
      </w:r>
      <w:r>
        <w:rPr>
          <w:rFonts w:ascii="Times New Roman" w:hAnsi="Times New Roman" w:eastAsia="仿宋_GB2312" w:cs="Times New Roman"/>
          <w:color w:val="000000" w:themeColor="text1"/>
          <w:sz w:val="32"/>
          <w:szCs w:val="32"/>
          <w:highlight w:val="none"/>
          <w:u w:val="none"/>
          <w14:textFill>
            <w14:solidFill>
              <w14:schemeClr w14:val="tx1"/>
            </w14:solidFill>
          </w14:textFill>
        </w:rPr>
        <w:t>，结合兵团实际，制定本方案。</w:t>
      </w:r>
    </w:p>
    <w:p w14:paraId="2A3C1CFA">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outlineLvl w:val="0"/>
        <w:rPr>
          <w:rFonts w:ascii="Times New Roman" w:hAnsi="Times New Roman" w:eastAsia="黑体" w:cs="Times New Roman"/>
          <w:color w:val="000000" w:themeColor="text1"/>
          <w:sz w:val="32"/>
          <w:szCs w:val="32"/>
          <w:highlight w:val="none"/>
          <w:u w:val="none"/>
          <w14:textFill>
            <w14:solidFill>
              <w14:schemeClr w14:val="tx1"/>
            </w14:solidFill>
          </w14:textFill>
        </w:rPr>
      </w:pPr>
      <w:r>
        <w:rPr>
          <w:rFonts w:ascii="Times New Roman" w:hAnsi="Times New Roman" w:eastAsia="黑体" w:cs="Times New Roman"/>
          <w:color w:val="000000" w:themeColor="text1"/>
          <w:sz w:val="32"/>
          <w:szCs w:val="32"/>
          <w:highlight w:val="none"/>
          <w:u w:val="none"/>
          <w14:textFill>
            <w14:solidFill>
              <w14:schemeClr w14:val="tx1"/>
            </w14:solidFill>
          </w14:textFill>
        </w:rPr>
        <w:t>一、总体要求</w:t>
      </w:r>
    </w:p>
    <w:p w14:paraId="312D1CE3">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坚持以习近平新时代中国特色社会主义思想为指导，深入贯彻落实党的二十大和二十届二中、三中、四中全会精神，贯彻落实习近平总书记关于新疆</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和兵团</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工作重要讲话重要指示批示精神，以维护国家数据安全</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保护个人信息和商业秘密为前提，坚持以数据要素市场化配置改革为主线</w:t>
      </w:r>
      <w:r>
        <w:rPr>
          <w:rFonts w:ascii="Times New Roman" w:hAnsi="Times New Roman" w:eastAsia="仿宋_GB2312" w:cs="Times New Roman"/>
          <w:b w:val="0"/>
          <w:bCs w:val="0"/>
          <w:i w:val="0"/>
          <w:iCs w:val="0"/>
          <w:caps w:val="0"/>
          <w:smallCaps w:val="0"/>
          <w:color w:val="000000" w:themeColor="text1"/>
          <w:spacing w:val="0"/>
          <w:sz w:val="32"/>
          <w:szCs w:val="32"/>
          <w:highlight w:val="none"/>
          <w:u w:val="none"/>
          <w:shd w:val="clear" w:color="auto" w:fill="FFFFFF"/>
          <w14:textFill>
            <w14:solidFill>
              <w14:schemeClr w14:val="tx1"/>
            </w14:solidFill>
          </w14:textFill>
        </w:rPr>
        <w:t>，</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以数据赋能新质生产力为目标，</w:t>
      </w:r>
      <w:r>
        <w:rPr>
          <w:rFonts w:ascii="Times New Roman" w:hAnsi="Times New Roman" w:eastAsia="仿宋_GB2312" w:cs="Times New Roman"/>
          <w:b w:val="0"/>
          <w:bCs w:val="0"/>
          <w:i w:val="0"/>
          <w:iCs w:val="0"/>
          <w:caps w:val="0"/>
          <w:smallCaps w:val="0"/>
          <w:color w:val="000000" w:themeColor="text1"/>
          <w:spacing w:val="0"/>
          <w:sz w:val="32"/>
          <w:szCs w:val="32"/>
          <w:highlight w:val="none"/>
          <w:u w:val="none"/>
          <w:shd w:val="clear" w:color="auto" w:fill="FFFFFF"/>
          <w14:textFill>
            <w14:solidFill>
              <w14:schemeClr w14:val="tx1"/>
            </w14:solidFill>
          </w14:textFill>
        </w:rPr>
        <w:t>不断完善数据基础制度、布局数据基础设施、强化场景引领、促进数据流通交易、壮大数据产业，</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推进</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数据</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要素</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“供得出、流得动、用得好、保安全”。</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深化数据资源开发利用，</w:t>
      </w:r>
      <w:r>
        <w:rPr>
          <w:rFonts w:ascii="Times New Roman" w:hAnsi="Times New Roman" w:eastAsia="仿宋_GB2312" w:cs="Times New Roman"/>
          <w:i w:val="0"/>
          <w:iCs w:val="0"/>
          <w:caps w:val="0"/>
          <w:smallCaps w:val="0"/>
          <w:color w:val="000000" w:themeColor="text1"/>
          <w:spacing w:val="8"/>
          <w:sz w:val="32"/>
          <w:szCs w:val="32"/>
          <w:highlight w:val="none"/>
          <w:u w:val="none"/>
          <w:shd w:val="clear" w:color="auto" w:fill="FFFFFF"/>
          <w14:textFill>
            <w14:solidFill>
              <w14:schemeClr w14:val="tx1"/>
            </w14:solidFill>
          </w14:textFill>
        </w:rPr>
        <w:t>强化算力、数据等高效供给。</w:t>
      </w:r>
      <w:r>
        <w:rPr>
          <w:rFonts w:hint="eastAsia" w:ascii="Times New Roman" w:hAnsi="Times New Roman" w:eastAsia="仿宋_GB2312" w:cs="Times New Roman"/>
          <w:i w:val="0"/>
          <w:iCs w:val="0"/>
          <w:caps w:val="0"/>
          <w:smallCaps w:val="0"/>
          <w:color w:val="000000" w:themeColor="text1"/>
          <w:spacing w:val="8"/>
          <w:sz w:val="32"/>
          <w:szCs w:val="32"/>
          <w:highlight w:val="none"/>
          <w:u w:val="none"/>
          <w:shd w:val="clear" w:color="auto" w:fill="FFFFFF"/>
          <w:lang w:eastAsia="zh-CN"/>
          <w14:textFill>
            <w14:solidFill>
              <w14:schemeClr w14:val="tx1"/>
            </w14:solidFill>
          </w14:textFill>
        </w:rPr>
        <w:t>持续</w:t>
      </w:r>
      <w:r>
        <w:rPr>
          <w:rFonts w:ascii="Times New Roman" w:hAnsi="Times New Roman" w:eastAsia="仿宋_GB2312" w:cs="Times New Roman"/>
          <w:i w:val="0"/>
          <w:iCs w:val="0"/>
          <w:caps w:val="0"/>
          <w:smallCaps w:val="0"/>
          <w:color w:val="000000" w:themeColor="text1"/>
          <w:spacing w:val="8"/>
          <w:sz w:val="32"/>
          <w:szCs w:val="32"/>
          <w:highlight w:val="none"/>
          <w:u w:val="none"/>
          <w:shd w:val="clear" w:color="auto" w:fill="FFFFFF"/>
          <w14:textFill>
            <w14:solidFill>
              <w14:schemeClr w14:val="tx1"/>
            </w14:solidFill>
          </w14:textFill>
        </w:rPr>
        <w:t>扩大优质数据资源供给，更好满足企业创新、产业升级、社会治理等多元化用数需求</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，赋能</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兵团经济社会高质量发展。</w:t>
      </w:r>
    </w:p>
    <w:p w14:paraId="754334AA">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到20</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27</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年，兵团数据要素基础制度体系基本建立，数据资源供给规模和质量明显提升，基础设施赋能数据流通的成效显著增强，数据产品和服务不断丰富。力争引育</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50家</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以上</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数</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据要素型企业，兵团数据产业生态初步建立。到203</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0</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年，基本建成权责清晰、运行高效、生态活跃、安全有序的数据要素市场化体系。在</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政务服务、农业农村、智慧能源、</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金融服务、医疗卫生、教育教学、公共安全、城市治理等领域打造</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30个以上重点行业高质量数据</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集、</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30个以上数据要素典型应用场景</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形成一批特色鲜明的数据创新应用和产品，高质量数据产品和服务供给有效满足市场需求，推动形成3个左右示范作用明显的数字经济产业园区，数据要素在赋能实体经济、扩大消费需求、拓展投资空间、提升治理能力中的作用充分发挥。</w:t>
      </w:r>
    </w:p>
    <w:p w14:paraId="0CB208B0">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outlineLvl w:val="0"/>
        <w:rPr>
          <w:rFonts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ascii="Times New Roman" w:hAnsi="Times New Roman" w:eastAsia="黑体" w:cs="Times New Roman"/>
          <w:color w:val="000000" w:themeColor="text1"/>
          <w:sz w:val="32"/>
          <w:szCs w:val="32"/>
          <w:highlight w:val="none"/>
          <w:u w:val="none"/>
          <w:lang w:eastAsia="zh-CN"/>
          <w14:textFill>
            <w14:solidFill>
              <w14:schemeClr w14:val="tx1"/>
            </w14:solidFill>
          </w14:textFill>
        </w:rPr>
        <w:t>二、加强数据高质量供给</w:t>
      </w:r>
    </w:p>
    <w:p w14:paraId="774BA983">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pPr>
      <w:r>
        <w:rPr>
          <w:rFonts w:ascii="Times New Roman" w:hAnsi="Times New Roman" w:eastAsia="楷体_GB2312" w:cs="Times New Roman"/>
          <w:color w:val="000000" w:themeColor="text1"/>
          <w:sz w:val="32"/>
          <w:szCs w:val="32"/>
          <w:highlight w:val="none"/>
          <w:u w:val="none"/>
          <w:lang w:eastAsia="zh-CN"/>
          <w14:textFill>
            <w14:solidFill>
              <w14:schemeClr w14:val="tx1"/>
            </w14:solidFill>
          </w14:textFill>
        </w:rPr>
        <w:t>（一）</w:t>
      </w:r>
      <w:r>
        <w:rPr>
          <w:rFonts w:hint="eastAsia"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落实</w:t>
      </w:r>
      <w:r>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数据产权</w:t>
      </w:r>
      <w:r>
        <w:rPr>
          <w:rFonts w:hint="eastAsia"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制度</w:t>
      </w:r>
      <w:r>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研究制定数据持有权、使用权、经营权结构性分置运行制度实施方案。</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出台《兵团数据产权登记细则》，</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明确登记机构、登记流程、监督管理与责任，依法保护数据生产、流通、使用过程中各参与方的合法权益。推动数据资产化管理，探索公共数据资产登记、评估、入表，支持具备条件的</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师市</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和企业开展数据资产登记和评估试点工作。</w:t>
      </w:r>
    </w:p>
    <w:p w14:paraId="0CBC732B">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pPr>
      <w:r>
        <w:rPr>
          <w:rFonts w:ascii="Times New Roman" w:hAnsi="Times New Roman" w:eastAsia="楷体_GB2312" w:cs="Times New Roman"/>
          <w:color w:val="000000" w:themeColor="text1"/>
          <w:sz w:val="32"/>
          <w:szCs w:val="32"/>
          <w:highlight w:val="none"/>
          <w:u w:val="none"/>
          <w:lang w:eastAsia="zh-CN"/>
          <w14:textFill>
            <w14:solidFill>
              <w14:schemeClr w14:val="tx1"/>
            </w14:solidFill>
          </w14:textFill>
        </w:rPr>
        <w:t>（二）强化数据资源管理。</w:t>
      </w:r>
      <w:r>
        <w:rPr>
          <w:rFonts w:ascii="Times New Roman" w:hAnsi="Times New Roman" w:eastAsia="仿宋_GB2312" w:cs="Times New Roman"/>
          <w:color w:val="000000" w:themeColor="text1"/>
          <w:sz w:val="32"/>
          <w:szCs w:val="32"/>
          <w:highlight w:val="none"/>
          <w:u w:val="none"/>
          <w14:textFill>
            <w14:solidFill>
              <w14:schemeClr w14:val="tx1"/>
            </w14:solidFill>
          </w14:textFill>
        </w:rPr>
        <w:t>持续开展公共数据资源统计调查，</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摸清数据资源底数。</w:t>
      </w:r>
      <w:r>
        <w:rPr>
          <w:rFonts w:ascii="Times New Roman" w:hAnsi="Times New Roman" w:eastAsia="仿宋_GB2312" w:cs="Times New Roman"/>
          <w:color w:val="000000" w:themeColor="text1"/>
          <w:sz w:val="32"/>
          <w:szCs w:val="32"/>
          <w:highlight w:val="none"/>
          <w:u w:val="none"/>
          <w14:textFill>
            <w14:solidFill>
              <w14:schemeClr w14:val="tx1"/>
            </w14:solidFill>
          </w14:textFill>
        </w:rPr>
        <w:t>统一</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编制</w:t>
      </w:r>
      <w:r>
        <w:rPr>
          <w:rFonts w:ascii="Times New Roman" w:hAnsi="Times New Roman" w:eastAsia="仿宋_GB2312" w:cs="Times New Roman"/>
          <w:color w:val="000000" w:themeColor="text1"/>
          <w:sz w:val="32"/>
          <w:szCs w:val="32"/>
          <w:highlight w:val="none"/>
          <w:u w:val="none"/>
          <w14:textFill>
            <w14:solidFill>
              <w14:schemeClr w14:val="tx1"/>
            </w14:solidFill>
          </w14:textFill>
        </w:rPr>
        <w:t>公共数据资源目录，深化公共数据治理</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u w:val="none"/>
          <w14:textFill>
            <w14:solidFill>
              <w14:schemeClr w14:val="tx1"/>
            </w14:solidFill>
          </w14:textFill>
        </w:rPr>
        <w:t>推动实现</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u w:val="none"/>
          <w14:textFill>
            <w14:solidFill>
              <w14:schemeClr w14:val="tx1"/>
            </w14:solidFill>
          </w14:textFill>
        </w:rPr>
        <w:t>一数一源</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u w:val="none"/>
          <w14:textFill>
            <w14:solidFill>
              <w14:schemeClr w14:val="tx1"/>
            </w14:solidFill>
          </w14:textFill>
        </w:rPr>
        <w:t>。</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加快建立全兵团一体化公共数据资源体系。</w:t>
      </w:r>
      <w:r>
        <w:rPr>
          <w:rFonts w:ascii="Times New Roman" w:hAnsi="Times New Roman" w:eastAsia="仿宋_GB2312" w:cs="Times New Roman"/>
          <w:color w:val="000000" w:themeColor="text1"/>
          <w:sz w:val="32"/>
          <w:szCs w:val="32"/>
          <w:highlight w:val="none"/>
          <w:u w:val="none"/>
          <w14:textFill>
            <w14:solidFill>
              <w14:schemeClr w14:val="tx1"/>
            </w14:solidFill>
          </w14:textFill>
        </w:rPr>
        <w:t>加强企业数据资源管理，引导企业健全数据管理体系，建立涵盖数据采集、治理、共享等全流程管理机制</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u w:val="none"/>
          <w14:textFill>
            <w14:solidFill>
              <w14:schemeClr w14:val="tx1"/>
            </w14:solidFill>
          </w14:textFill>
        </w:rPr>
        <w:t>提升企业数据管理能力和数据价值转化水平。</w:t>
      </w:r>
      <w:r>
        <w:rPr>
          <w:rFonts w:ascii="Times New Roman" w:hAnsi="Times New Roman" w:eastAsia="方正仿宋_GB2312" w:cs="Times New Roman"/>
          <w:color w:val="000000" w:themeColor="text1"/>
          <w:sz w:val="32"/>
          <w:szCs w:val="32"/>
          <w:highlight w:val="none"/>
          <w:u w:val="none"/>
          <w:lang w:val="en-US" w:eastAsia="zh-CN"/>
          <w14:textFill>
            <w14:solidFill>
              <w14:schemeClr w14:val="tx1"/>
            </w14:solidFill>
          </w14:textFill>
        </w:rPr>
        <w:t>规范个人数据全生命周期管理，保障个人信息权益。</w:t>
      </w:r>
    </w:p>
    <w:p w14:paraId="3D17195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autoSpaceDE/>
        <w:autoSpaceDN/>
        <w:bidi w:val="0"/>
        <w:adjustRightInd/>
        <w:snapToGrid/>
        <w:spacing w:before="0" w:beforeAutospacing="0" w:after="0" w:afterAutospacing="0" w:line="560" w:lineRule="exact"/>
        <w:ind w:right="0" w:firstLine="640" w:firstLineChars="200"/>
        <w:jc w:val="both"/>
        <w:textAlignment w:val="auto"/>
        <w:rPr>
          <w:rFonts w:ascii="Times New Roman" w:hAnsi="Times New Roman" w:eastAsia="楷体_GB2312" w:cs="Times New Roman"/>
          <w:color w:val="000000" w:themeColor="text1"/>
          <w:kern w:val="2"/>
          <w:sz w:val="32"/>
          <w:szCs w:val="32"/>
          <w:highlight w:val="none"/>
          <w:u w:val="none"/>
          <w:lang w:val="en-US" w:eastAsia="zh-CN" w:bidi="ar-SA"/>
          <w14:textFill>
            <w14:solidFill>
              <w14:schemeClr w14:val="tx1"/>
            </w14:solidFill>
          </w14:textFill>
        </w:rPr>
      </w:pPr>
      <w:r>
        <w:rPr>
          <w:rFonts w:ascii="Times New Roman" w:hAnsi="Times New Roman" w:eastAsia="楷体_GB2312" w:cs="Times New Roman"/>
          <w:color w:val="000000" w:themeColor="text1"/>
          <w:kern w:val="2"/>
          <w:sz w:val="32"/>
          <w:szCs w:val="32"/>
          <w:highlight w:val="none"/>
          <w:u w:val="none"/>
          <w:lang w:val="en-US" w:eastAsia="zh-CN" w:bidi="ar-SA"/>
          <w14:textFill>
            <w14:solidFill>
              <w14:schemeClr w14:val="tx1"/>
            </w14:solidFill>
          </w14:textFill>
        </w:rPr>
        <w:t>（</w:t>
      </w:r>
      <w:r>
        <w:rPr>
          <w:rFonts w:hint="eastAsia" w:ascii="Times New Roman" w:hAnsi="Times New Roman" w:eastAsia="楷体_GB2312" w:cs="Times New Roman"/>
          <w:color w:val="000000" w:themeColor="text1"/>
          <w:kern w:val="2"/>
          <w:sz w:val="32"/>
          <w:szCs w:val="32"/>
          <w:highlight w:val="none"/>
          <w:u w:val="none"/>
          <w:lang w:val="en-US" w:eastAsia="zh-CN" w:bidi="ar-SA"/>
          <w14:textFill>
            <w14:solidFill>
              <w14:schemeClr w14:val="tx1"/>
            </w14:solidFill>
          </w14:textFill>
        </w:rPr>
        <w:t>三</w:t>
      </w:r>
      <w:r>
        <w:rPr>
          <w:rFonts w:ascii="Times New Roman" w:hAnsi="Times New Roman" w:eastAsia="楷体_GB2312" w:cs="Times New Roman"/>
          <w:color w:val="000000" w:themeColor="text1"/>
          <w:kern w:val="2"/>
          <w:sz w:val="32"/>
          <w:szCs w:val="32"/>
          <w:highlight w:val="none"/>
          <w:u w:val="none"/>
          <w:lang w:val="en-US" w:eastAsia="zh-CN" w:bidi="ar-SA"/>
          <w14:textFill>
            <w14:solidFill>
              <w14:schemeClr w14:val="tx1"/>
            </w14:solidFill>
          </w14:textFill>
        </w:rPr>
        <w:t>）加大数据资源供给。</w:t>
      </w:r>
      <w:r>
        <w:rPr>
          <w:rFonts w:ascii="Times New Roman" w:hAnsi="Times New Roman" w:eastAsia="方正仿宋_GB2312" w:cs="Times New Roman"/>
          <w:color w:val="000000" w:themeColor="text1"/>
          <w:kern w:val="2"/>
          <w:sz w:val="32"/>
          <w:szCs w:val="32"/>
          <w:highlight w:val="none"/>
          <w:u w:val="none"/>
          <w:lang w:val="en-US" w:eastAsia="zh-CN" w:bidi="ar-SA"/>
          <w14:textFill>
            <w14:solidFill>
              <w14:schemeClr w14:val="tx1"/>
            </w14:solidFill>
          </w14:textFill>
        </w:rPr>
        <w:t>强化兵团公共数据管理平台支撑能力，构建涵盖公共数据资源组织管理、数据汇聚、数据共享以及安全保障的“一网共享”体系，建立公共数据开放共享机制，促进公共数据跨部门跨层级互联互通。制定公共数据开放清单，优先推动与民生密切相关、社会迫切需要的公共数据以数据产品形式向社会提供服务。</w:t>
      </w:r>
      <w:r>
        <w:rPr>
          <w:rFonts w:hint="eastAsia" w:ascii="Times New Roman" w:hAnsi="Times New Roman" w:eastAsia="方正仿宋_GB2312" w:cs="Times New Roman"/>
          <w:color w:val="000000" w:themeColor="text1"/>
          <w:kern w:val="2"/>
          <w:sz w:val="32"/>
          <w:szCs w:val="32"/>
          <w:highlight w:val="none"/>
          <w:u w:val="none"/>
          <w:lang w:val="en-US" w:eastAsia="zh-CN" w:bidi="ar-SA"/>
          <w14:textFill>
            <w14:solidFill>
              <w14:schemeClr w14:val="tx1"/>
            </w14:solidFill>
          </w14:textFill>
        </w:rPr>
        <w:t>引导国有企业高水平开放数据资源，推动数据赋能提升企业核心竞争力，促进产业链协同创新。</w:t>
      </w:r>
      <w:r>
        <w:rPr>
          <w:rFonts w:ascii="Times New Roman" w:hAnsi="Times New Roman" w:eastAsia="方正仿宋_GB2312" w:cs="Times New Roman"/>
          <w:color w:val="000000" w:themeColor="text1"/>
          <w:kern w:val="2"/>
          <w:sz w:val="32"/>
          <w:szCs w:val="32"/>
          <w:highlight w:val="none"/>
          <w:u w:val="none"/>
          <w:lang w:val="en-US" w:eastAsia="zh-CN" w:bidi="ar-SA"/>
          <w14:textFill>
            <w14:solidFill>
              <w14:schemeClr w14:val="tx1"/>
            </w14:solidFill>
          </w14:textFill>
        </w:rPr>
        <w:t>鼓励数据密集型企业、平台企业等市场主体生产经营活动产生的数据参与数据要素市场化流通，</w:t>
      </w:r>
      <w:r>
        <w:rPr>
          <w:rFonts w:hint="eastAsia" w:ascii="Times New Roman" w:hAnsi="Times New Roman" w:eastAsia="方正仿宋_GB2312" w:cs="Times New Roman"/>
          <w:color w:val="000000" w:themeColor="text1"/>
          <w:kern w:val="2"/>
          <w:sz w:val="32"/>
          <w:szCs w:val="32"/>
          <w:highlight w:val="none"/>
          <w:u w:val="none"/>
          <w:lang w:val="en-US" w:eastAsia="zh-CN" w:bidi="ar-SA"/>
          <w14:textFill>
            <w14:solidFill>
              <w14:schemeClr w14:val="tx1"/>
            </w14:solidFill>
          </w14:textFill>
        </w:rPr>
        <w:t>促进与中小微企业双向公平授权，</w:t>
      </w:r>
      <w:r>
        <w:rPr>
          <w:rFonts w:ascii="Times New Roman" w:hAnsi="Times New Roman" w:eastAsia="方正仿宋_GB2312" w:cs="Times New Roman"/>
          <w:color w:val="000000" w:themeColor="text1"/>
          <w:kern w:val="2"/>
          <w:sz w:val="32"/>
          <w:szCs w:val="32"/>
          <w:highlight w:val="none"/>
          <w:u w:val="none"/>
          <w:lang w:val="en-US" w:eastAsia="zh-CN" w:bidi="ar-SA"/>
          <w14:textFill>
            <w14:solidFill>
              <w14:schemeClr w14:val="tx1"/>
            </w14:solidFill>
          </w14:textFill>
        </w:rPr>
        <w:t>加快拓展行业数据流通新模式。强化个人数据保护，推动数据处理者按照个人授权范围依法依规处理数据。</w:t>
      </w:r>
    </w:p>
    <w:p w14:paraId="64553B41">
      <w:pPr>
        <w:keepNext w:val="0"/>
        <w:keepLines w:val="0"/>
        <w:pageBreakBefore w:val="0"/>
        <w:widowControl/>
        <w:kinsoku/>
        <w:wordWrap/>
        <w:overflowPunct w:val="0"/>
        <w:topLinePunct/>
        <w:autoSpaceDE/>
        <w:autoSpaceDN/>
        <w:bidi w:val="0"/>
        <w:adjustRightInd w:val="0"/>
        <w:snapToGrid w:val="0"/>
        <w:spacing w:line="560" w:lineRule="exact"/>
        <w:ind w:left="0" w:firstLine="640" w:firstLineChars="200"/>
        <w:jc w:val="both"/>
        <w:textAlignment w:val="auto"/>
        <w:outlineLvl w:val="0"/>
        <w:rPr>
          <w:rFonts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ascii="Times New Roman" w:hAnsi="Times New Roman" w:eastAsia="黑体" w:cs="Times New Roman"/>
          <w:color w:val="000000" w:themeColor="text1"/>
          <w:sz w:val="32"/>
          <w:szCs w:val="32"/>
          <w:highlight w:val="none"/>
          <w:u w:val="none"/>
          <w:lang w:eastAsia="zh-CN"/>
          <w14:textFill>
            <w14:solidFill>
              <w14:schemeClr w14:val="tx1"/>
            </w14:solidFill>
          </w14:textFill>
        </w:rPr>
        <w:t>三、推动数据高效率流通</w:t>
      </w:r>
    </w:p>
    <w:p w14:paraId="1FAB7BA1">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Times New Roman" w:hAnsi="Times New Roman" w:eastAsia="楷体_GB2312" w:cs="Times New Roman"/>
          <w:color w:val="000000" w:themeColor="text1"/>
          <w:kern w:val="2"/>
          <w:sz w:val="32"/>
          <w:szCs w:val="32"/>
          <w:highlight w:val="none"/>
          <w:u w:val="none"/>
          <w:lang w:val="en-US" w:eastAsia="zh-CN" w:bidi="ar-SA"/>
          <w14:textFill>
            <w14:solidFill>
              <w14:schemeClr w14:val="tx1"/>
            </w14:solidFill>
          </w14:textFill>
        </w:rPr>
      </w:pPr>
      <w:r>
        <w:rPr>
          <w:rFonts w:ascii="Times New Roman" w:hAnsi="Times New Roman" w:eastAsia="楷体_GB2312" w:cs="Times New Roman"/>
          <w:color w:val="000000" w:themeColor="text1"/>
          <w:kern w:val="2"/>
          <w:sz w:val="32"/>
          <w:szCs w:val="32"/>
          <w:highlight w:val="none"/>
          <w:u w:val="none"/>
          <w:lang w:val="en-US" w:eastAsia="zh-CN" w:bidi="ar-SA"/>
          <w14:textFill>
            <w14:solidFill>
              <w14:schemeClr w14:val="tx1"/>
            </w14:solidFill>
          </w14:textFill>
        </w:rPr>
        <w:t>（</w:t>
      </w:r>
      <w:r>
        <w:rPr>
          <w:rFonts w:hint="eastAsia" w:ascii="Times New Roman" w:hAnsi="Times New Roman" w:eastAsia="楷体_GB2312" w:cs="Times New Roman"/>
          <w:color w:val="000000" w:themeColor="text1"/>
          <w:kern w:val="2"/>
          <w:sz w:val="32"/>
          <w:szCs w:val="32"/>
          <w:highlight w:val="none"/>
          <w:u w:val="none"/>
          <w:lang w:val="en-US" w:eastAsia="zh-CN" w:bidi="ar-SA"/>
          <w14:textFill>
            <w14:solidFill>
              <w14:schemeClr w14:val="tx1"/>
            </w14:solidFill>
          </w14:textFill>
        </w:rPr>
        <w:t>四</w:t>
      </w:r>
      <w:r>
        <w:rPr>
          <w:rFonts w:ascii="Times New Roman" w:hAnsi="Times New Roman" w:eastAsia="楷体_GB2312" w:cs="Times New Roman"/>
          <w:color w:val="000000" w:themeColor="text1"/>
          <w:kern w:val="2"/>
          <w:sz w:val="32"/>
          <w:szCs w:val="32"/>
          <w:highlight w:val="none"/>
          <w:u w:val="none"/>
          <w:lang w:val="en-US" w:eastAsia="zh-CN" w:bidi="ar-SA"/>
          <w14:textFill>
            <w14:solidFill>
              <w14:schemeClr w14:val="tx1"/>
            </w14:solidFill>
          </w14:textFill>
        </w:rPr>
        <w:t>）深化数据共享开放。</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依托政务数据直达基层系统，推动国家和兵团垂直管理系统数据回流，支撑基层数据需求。完善公共数据开放机制，推动市场监管、医疗健康、交通运输等高价值数据资源安全合规开放。</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锚定新疆“五大战略定位”，</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聚焦建设兵团特色现代化产业体系，打造行业级数据资源池，推动产业链条内数据高效流通与融合应用。鼓励高校、科研机构在确保安全的前提下开放科</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学</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数据</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，推动科学数据与产业数据开放共享、深度融合。</w:t>
      </w:r>
    </w:p>
    <w:p w14:paraId="00E009C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rPr>
          <w:rFonts w:ascii="Times New Roman" w:hAnsi="Times New Roman" w:eastAsia="楷体_GB2312" w:cs="Times New Roman"/>
          <w:color w:val="000000" w:themeColor="text1"/>
          <w:kern w:val="2"/>
          <w:sz w:val="32"/>
          <w:szCs w:val="32"/>
          <w:highlight w:val="none"/>
          <w:u w:val="none"/>
          <w:lang w:val="en-US" w:eastAsia="zh-CN" w:bidi="ar-SA"/>
          <w14:textFill>
            <w14:solidFill>
              <w14:schemeClr w14:val="tx1"/>
            </w14:solidFill>
          </w14:textFill>
        </w:rPr>
      </w:pPr>
      <w:r>
        <w:rPr>
          <w:rFonts w:ascii="Times New Roman" w:hAnsi="Times New Roman" w:eastAsia="楷体_GB2312" w:cs="Times New Roman"/>
          <w:color w:val="000000" w:themeColor="text1"/>
          <w:kern w:val="2"/>
          <w:sz w:val="32"/>
          <w:szCs w:val="32"/>
          <w:highlight w:val="none"/>
          <w:u w:val="none"/>
          <w:lang w:val="en-US" w:eastAsia="zh-CN" w:bidi="ar-SA"/>
          <w14:textFill>
            <w14:solidFill>
              <w14:schemeClr w14:val="tx1"/>
            </w14:solidFill>
          </w14:textFill>
        </w:rPr>
        <w:t>（</w:t>
      </w:r>
      <w:r>
        <w:rPr>
          <w:rFonts w:hint="eastAsia" w:ascii="Times New Roman" w:hAnsi="Times New Roman" w:eastAsia="楷体_GB2312" w:cs="Times New Roman"/>
          <w:color w:val="000000" w:themeColor="text1"/>
          <w:kern w:val="2"/>
          <w:sz w:val="32"/>
          <w:szCs w:val="32"/>
          <w:highlight w:val="none"/>
          <w:u w:val="none"/>
          <w:lang w:val="en-US" w:eastAsia="zh-CN" w:bidi="ar-SA"/>
          <w14:textFill>
            <w14:solidFill>
              <w14:schemeClr w14:val="tx1"/>
            </w14:solidFill>
          </w14:textFill>
        </w:rPr>
        <w:t>五</w:t>
      </w:r>
      <w:r>
        <w:rPr>
          <w:rFonts w:ascii="Times New Roman" w:hAnsi="Times New Roman" w:eastAsia="楷体_GB2312" w:cs="Times New Roman"/>
          <w:color w:val="000000" w:themeColor="text1"/>
          <w:kern w:val="2"/>
          <w:sz w:val="32"/>
          <w:szCs w:val="32"/>
          <w:highlight w:val="none"/>
          <w:u w:val="none"/>
          <w:lang w:val="en-US" w:eastAsia="zh-CN" w:bidi="ar-SA"/>
          <w14:textFill>
            <w14:solidFill>
              <w14:schemeClr w14:val="tx1"/>
            </w14:solidFill>
          </w14:textFill>
        </w:rPr>
        <w:t>）推动</w:t>
      </w:r>
      <w:r>
        <w:rPr>
          <w:rFonts w:hint="eastAsia" w:ascii="Times New Roman" w:hAnsi="Times New Roman" w:eastAsia="楷体_GB2312" w:cs="Times New Roman"/>
          <w:color w:val="000000" w:themeColor="text1"/>
          <w:kern w:val="2"/>
          <w:sz w:val="32"/>
          <w:szCs w:val="32"/>
          <w:highlight w:val="none"/>
          <w:u w:val="none"/>
          <w:lang w:val="en-US" w:eastAsia="zh-CN" w:bidi="ar-SA"/>
          <w14:textFill>
            <w14:solidFill>
              <w14:schemeClr w14:val="tx1"/>
            </w14:solidFill>
          </w14:textFill>
        </w:rPr>
        <w:t>公共</w:t>
      </w:r>
      <w:r>
        <w:rPr>
          <w:rFonts w:ascii="Times New Roman" w:hAnsi="Times New Roman" w:eastAsia="楷体_GB2312" w:cs="Times New Roman"/>
          <w:color w:val="000000" w:themeColor="text1"/>
          <w:kern w:val="2"/>
          <w:sz w:val="32"/>
          <w:szCs w:val="32"/>
          <w:highlight w:val="none"/>
          <w:u w:val="none"/>
          <w:lang w:val="en-US" w:eastAsia="zh-CN" w:bidi="ar-SA"/>
          <w14:textFill>
            <w14:solidFill>
              <w14:schemeClr w14:val="tx1"/>
            </w14:solidFill>
          </w14:textFill>
        </w:rPr>
        <w:t>数据资源登记。</w:t>
      </w:r>
      <w:r>
        <w:rPr>
          <w:rFonts w:ascii="Times New Roman" w:hAnsi="Times New Roman" w:eastAsia="仿宋_GB2312" w:cs="Times New Roman"/>
          <w:color w:val="000000" w:themeColor="text1"/>
          <w:sz w:val="32"/>
          <w:szCs w:val="32"/>
          <w:highlight w:val="none"/>
          <w:u w:val="none"/>
          <w14:textFill>
            <w14:solidFill>
              <w14:schemeClr w14:val="tx1"/>
            </w14:solidFill>
          </w14:textFill>
        </w:rPr>
        <w:t>编制兵团公共数据资源目录。对纳入授权运营范围的公共数据资源，严格实行登记管理</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Style w:val="12"/>
          <w:rFonts w:ascii="Times New Roman" w:hAnsi="Times New Roman" w:eastAsia="仿宋_GB2312" w:cs="Times New Roman"/>
          <w:b w:val="0"/>
          <w:bCs w:val="0"/>
          <w:i w:val="0"/>
          <w:iCs w:val="0"/>
          <w:caps w:val="0"/>
          <w:smallCaps w:val="0"/>
          <w:color w:val="000000" w:themeColor="text1"/>
          <w:spacing w:val="0"/>
          <w:sz w:val="32"/>
          <w:szCs w:val="32"/>
          <w:highlight w:val="none"/>
          <w:u w:val="none"/>
          <w:shd w:val="clear" w:color="auto" w:fill="FFFFFF"/>
          <w:lang w:eastAsia="zh-CN"/>
          <w14:textFill>
            <w14:solidFill>
              <w14:schemeClr w14:val="tx1"/>
            </w14:solidFill>
          </w14:textFill>
        </w:rPr>
        <w:t>鼓励</w:t>
      </w:r>
      <w:r>
        <w:rPr>
          <w:rStyle w:val="12"/>
          <w:rFonts w:ascii="Times New Roman" w:hAnsi="Times New Roman" w:eastAsia="仿宋_GB2312" w:cs="Times New Roman"/>
          <w:b w:val="0"/>
          <w:bCs w:val="0"/>
          <w:i w:val="0"/>
          <w:iCs w:val="0"/>
          <w:caps w:val="0"/>
          <w:smallCaps w:val="0"/>
          <w:color w:val="000000" w:themeColor="text1"/>
          <w:spacing w:val="0"/>
          <w:sz w:val="32"/>
          <w:szCs w:val="32"/>
          <w:highlight w:val="none"/>
          <w:u w:val="none"/>
          <w:shd w:val="clear" w:color="auto" w:fill="FFFFFF"/>
          <w:lang w:val="en-US" w:eastAsia="zh-CN"/>
          <w14:textFill>
            <w14:solidFill>
              <w14:schemeClr w14:val="tx1"/>
            </w14:solidFill>
          </w14:textFill>
        </w:rPr>
        <w:t>兵团、师市</w:t>
      </w:r>
      <w:r>
        <w:rPr>
          <w:rStyle w:val="12"/>
          <w:rFonts w:ascii="Times New Roman" w:hAnsi="Times New Roman" w:eastAsia="仿宋_GB2312" w:cs="Times New Roman"/>
          <w:b w:val="0"/>
          <w:bCs w:val="0"/>
          <w:i w:val="0"/>
          <w:iCs w:val="0"/>
          <w:caps w:val="0"/>
          <w:smallCaps w:val="0"/>
          <w:color w:val="000000" w:themeColor="text1"/>
          <w:spacing w:val="0"/>
          <w:sz w:val="32"/>
          <w:szCs w:val="32"/>
          <w:highlight w:val="none"/>
          <w:u w:val="none"/>
          <w:shd w:val="clear" w:color="auto" w:fill="FFFFFF"/>
          <w:lang w:eastAsia="zh-CN"/>
          <w14:textFill>
            <w14:solidFill>
              <w14:schemeClr w14:val="tx1"/>
            </w14:solidFill>
          </w14:textFill>
        </w:rPr>
        <w:t>经授权开展运营活动的法人组织，对利用被授权的公共数据资源加工形成的数据产品和服务进行登记。鼓励</w:t>
      </w:r>
      <w:r>
        <w:rPr>
          <w:rStyle w:val="12"/>
          <w:rFonts w:ascii="Times New Roman" w:hAnsi="Times New Roman" w:eastAsia="仿宋_GB2312" w:cs="Times New Roman"/>
          <w:b w:val="0"/>
          <w:bCs w:val="0"/>
          <w:i w:val="0"/>
          <w:iCs w:val="0"/>
          <w:caps w:val="0"/>
          <w:smallCaps w:val="0"/>
          <w:color w:val="000000" w:themeColor="text1"/>
          <w:spacing w:val="0"/>
          <w:sz w:val="32"/>
          <w:szCs w:val="32"/>
          <w:highlight w:val="none"/>
          <w:u w:val="none"/>
          <w:shd w:val="clear" w:color="auto" w:fill="FFFFFF"/>
          <w:lang w:val="en-US" w:eastAsia="zh-CN"/>
          <w14:textFill>
            <w14:solidFill>
              <w14:schemeClr w14:val="tx1"/>
            </w14:solidFill>
          </w14:textFill>
        </w:rPr>
        <w:t>兵团、师市</w:t>
      </w:r>
      <w:r>
        <w:rPr>
          <w:rStyle w:val="12"/>
          <w:rFonts w:ascii="Times New Roman" w:hAnsi="Times New Roman" w:eastAsia="仿宋_GB2312" w:cs="Times New Roman"/>
          <w:b w:val="0"/>
          <w:bCs w:val="0"/>
          <w:i w:val="0"/>
          <w:iCs w:val="0"/>
          <w:caps w:val="0"/>
          <w:smallCaps w:val="0"/>
          <w:color w:val="000000" w:themeColor="text1"/>
          <w:spacing w:val="0"/>
          <w:sz w:val="32"/>
          <w:szCs w:val="32"/>
          <w:highlight w:val="none"/>
          <w:u w:val="none"/>
          <w:shd w:val="clear" w:color="auto" w:fill="FFFFFF"/>
          <w:lang w:eastAsia="zh-CN"/>
          <w14:textFill>
            <w14:solidFill>
              <w14:schemeClr w14:val="tx1"/>
            </w14:solidFill>
          </w14:textFill>
        </w:rPr>
        <w:t>供水、供气、供热、供电、公共交通等</w:t>
      </w:r>
      <w:r>
        <w:rPr>
          <w:rStyle w:val="12"/>
          <w:rFonts w:hint="eastAsia" w:ascii="Times New Roman" w:hAnsi="Times New Roman" w:eastAsia="仿宋_GB2312" w:cs="Times New Roman"/>
          <w:b w:val="0"/>
          <w:bCs w:val="0"/>
          <w:i w:val="0"/>
          <w:iCs w:val="0"/>
          <w:caps w:val="0"/>
          <w:smallCaps w:val="0"/>
          <w:color w:val="000000" w:themeColor="text1"/>
          <w:spacing w:val="0"/>
          <w:sz w:val="32"/>
          <w:szCs w:val="32"/>
          <w:highlight w:val="none"/>
          <w:u w:val="none"/>
          <w:shd w:val="clear" w:color="auto" w:fill="FFFFFF"/>
          <w:lang w:eastAsia="zh-CN"/>
          <w14:textFill>
            <w14:solidFill>
              <w14:schemeClr w14:val="tx1"/>
            </w14:solidFill>
          </w14:textFill>
        </w:rPr>
        <w:t>公用</w:t>
      </w:r>
      <w:r>
        <w:rPr>
          <w:rStyle w:val="12"/>
          <w:rFonts w:ascii="Times New Roman" w:hAnsi="Times New Roman" w:eastAsia="仿宋_GB2312" w:cs="Times New Roman"/>
          <w:b w:val="0"/>
          <w:bCs w:val="0"/>
          <w:i w:val="0"/>
          <w:iCs w:val="0"/>
          <w:caps w:val="0"/>
          <w:smallCaps w:val="0"/>
          <w:color w:val="000000" w:themeColor="text1"/>
          <w:spacing w:val="0"/>
          <w:sz w:val="32"/>
          <w:szCs w:val="32"/>
          <w:highlight w:val="none"/>
          <w:u w:val="none"/>
          <w:shd w:val="clear" w:color="auto" w:fill="FFFFFF"/>
          <w:lang w:eastAsia="zh-CN"/>
          <w14:textFill>
            <w14:solidFill>
              <w14:schemeClr w14:val="tx1"/>
            </w14:solidFill>
          </w14:textFill>
        </w:rPr>
        <w:t>企业对直接持有或管理的公</w:t>
      </w:r>
      <w:r>
        <w:rPr>
          <w:rStyle w:val="12"/>
          <w:rFonts w:hint="eastAsia" w:ascii="Times New Roman" w:hAnsi="Times New Roman" w:eastAsia="仿宋_GB2312" w:cs="Times New Roman"/>
          <w:b w:val="0"/>
          <w:bCs w:val="0"/>
          <w:i w:val="0"/>
          <w:iCs w:val="0"/>
          <w:caps w:val="0"/>
          <w:smallCaps w:val="0"/>
          <w:color w:val="000000" w:themeColor="text1"/>
          <w:spacing w:val="0"/>
          <w:sz w:val="32"/>
          <w:szCs w:val="32"/>
          <w:highlight w:val="none"/>
          <w:u w:val="none"/>
          <w:shd w:val="clear" w:color="auto" w:fill="FFFFFF"/>
          <w:lang w:eastAsia="zh-CN"/>
          <w14:textFill>
            <w14:solidFill>
              <w14:schemeClr w14:val="tx1"/>
            </w14:solidFill>
          </w14:textFill>
        </w:rPr>
        <w:t>共</w:t>
      </w:r>
      <w:r>
        <w:rPr>
          <w:rStyle w:val="12"/>
          <w:rFonts w:ascii="Times New Roman" w:hAnsi="Times New Roman" w:eastAsia="仿宋_GB2312" w:cs="Times New Roman"/>
          <w:b w:val="0"/>
          <w:bCs w:val="0"/>
          <w:i w:val="0"/>
          <w:iCs w:val="0"/>
          <w:caps w:val="0"/>
          <w:smallCaps w:val="0"/>
          <w:color w:val="000000" w:themeColor="text1"/>
          <w:spacing w:val="0"/>
          <w:sz w:val="32"/>
          <w:szCs w:val="32"/>
          <w:highlight w:val="none"/>
          <w:u w:val="none"/>
          <w:shd w:val="clear" w:color="auto" w:fill="FFFFFF"/>
          <w:lang w:eastAsia="zh-CN"/>
          <w14:textFill>
            <w14:solidFill>
              <w14:schemeClr w14:val="tx1"/>
            </w14:solidFill>
          </w14:textFill>
        </w:rPr>
        <w:t>数据资源及形成的产品和服务进行登记。</w:t>
      </w:r>
    </w:p>
    <w:p w14:paraId="78127F5F">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ascii="Times New Roman" w:hAnsi="Times New Roman" w:eastAsia="楷体_GB2312" w:cs="Times New Roman"/>
          <w:color w:val="000000" w:themeColor="text1"/>
          <w:kern w:val="2"/>
          <w:sz w:val="32"/>
          <w:szCs w:val="32"/>
          <w:highlight w:val="none"/>
          <w:u w:val="none"/>
          <w:lang w:val="en-US" w:eastAsia="zh-CN" w:bidi="ar-SA"/>
          <w14:textFill>
            <w14:solidFill>
              <w14:schemeClr w14:val="tx1"/>
            </w14:solidFill>
          </w14:textFill>
        </w:rPr>
        <w:t>（</w:t>
      </w:r>
      <w:r>
        <w:rPr>
          <w:rFonts w:hint="eastAsia" w:ascii="Times New Roman" w:hAnsi="Times New Roman" w:eastAsia="楷体_GB2312" w:cs="Times New Roman"/>
          <w:color w:val="000000" w:themeColor="text1"/>
          <w:kern w:val="2"/>
          <w:sz w:val="32"/>
          <w:szCs w:val="32"/>
          <w:highlight w:val="none"/>
          <w:u w:val="none"/>
          <w:lang w:val="en-US" w:eastAsia="zh-CN" w:bidi="ar-SA"/>
          <w14:textFill>
            <w14:solidFill>
              <w14:schemeClr w14:val="tx1"/>
            </w14:solidFill>
          </w14:textFill>
        </w:rPr>
        <w:t>六</w:t>
      </w:r>
      <w:r>
        <w:rPr>
          <w:rFonts w:ascii="Times New Roman" w:hAnsi="Times New Roman" w:eastAsia="楷体_GB2312" w:cs="Times New Roman"/>
          <w:color w:val="000000" w:themeColor="text1"/>
          <w:kern w:val="2"/>
          <w:sz w:val="32"/>
          <w:szCs w:val="32"/>
          <w:highlight w:val="none"/>
          <w:u w:val="none"/>
          <w:lang w:val="en-US" w:eastAsia="zh-CN" w:bidi="ar-SA"/>
          <w14:textFill>
            <w14:solidFill>
              <w14:schemeClr w14:val="tx1"/>
            </w14:solidFill>
          </w14:textFill>
        </w:rPr>
        <w:t>）</w:t>
      </w:r>
      <w:r>
        <w:rPr>
          <w:rFonts w:hint="eastAsia" w:ascii="Times New Roman" w:hAnsi="Times New Roman" w:eastAsia="楷体_GB2312" w:cs="Times New Roman"/>
          <w:color w:val="000000" w:themeColor="text1"/>
          <w:kern w:val="2"/>
          <w:sz w:val="32"/>
          <w:szCs w:val="32"/>
          <w:highlight w:val="none"/>
          <w:u w:val="none"/>
          <w:lang w:val="en-US" w:eastAsia="zh-CN" w:bidi="ar-SA"/>
          <w14:textFill>
            <w14:solidFill>
              <w14:schemeClr w14:val="tx1"/>
            </w14:solidFill>
          </w14:textFill>
        </w:rPr>
        <w:t>推动</w:t>
      </w:r>
      <w:r>
        <w:rPr>
          <w:rFonts w:ascii="Times New Roman" w:hAnsi="Times New Roman" w:eastAsia="楷体_GB2312" w:cs="Times New Roman"/>
          <w:color w:val="000000" w:themeColor="text1"/>
          <w:kern w:val="2"/>
          <w:sz w:val="32"/>
          <w:szCs w:val="32"/>
          <w:highlight w:val="none"/>
          <w:u w:val="none"/>
          <w:lang w:val="en-US" w:eastAsia="zh-CN" w:bidi="ar-SA"/>
          <w14:textFill>
            <w14:solidFill>
              <w14:schemeClr w14:val="tx1"/>
            </w14:solidFill>
          </w14:textFill>
        </w:rPr>
        <w:t>公共数据授权运营。</w:t>
      </w:r>
      <w:r>
        <w:rPr>
          <w:rFonts w:ascii="Times New Roman" w:hAnsi="Times New Roman" w:eastAsia="仿宋_GB2312" w:cs="Times New Roman"/>
          <w:color w:val="000000" w:themeColor="text1"/>
          <w:sz w:val="32"/>
          <w:szCs w:val="32"/>
          <w:highlight w:val="none"/>
          <w:u w:val="none"/>
          <w14:textFill>
            <w14:solidFill>
              <w14:schemeClr w14:val="tx1"/>
            </w14:solidFill>
          </w14:textFill>
        </w:rPr>
        <w:t>制定《兵团公共数据资源授权运营</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实施细则</w:t>
      </w:r>
      <w:r>
        <w:rPr>
          <w:rFonts w:ascii="Times New Roman" w:hAnsi="Times New Roman" w:eastAsia="仿宋_GB2312" w:cs="Times New Roman"/>
          <w:color w:val="000000" w:themeColor="text1"/>
          <w:sz w:val="32"/>
          <w:szCs w:val="32"/>
          <w:highlight w:val="none"/>
          <w:u w:val="none"/>
          <w14:textFill>
            <w14:solidFill>
              <w14:schemeClr w14:val="tx1"/>
            </w14:solidFill>
          </w14:textFill>
        </w:rPr>
        <w:t>》</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构建公共数据授权运营全程监督管理、运营情况披露、评价和退出机制。</w:t>
      </w:r>
      <w:r>
        <w:rPr>
          <w:rFonts w:ascii="Times New Roman" w:hAnsi="Times New Roman" w:eastAsia="仿宋_GB2312" w:cs="Times New Roman"/>
          <w:color w:val="000000" w:themeColor="text1"/>
          <w:sz w:val="32"/>
          <w:szCs w:val="32"/>
          <w:highlight w:val="none"/>
          <w:u w:val="none"/>
          <w14:textFill>
            <w14:solidFill>
              <w14:schemeClr w14:val="tx1"/>
            </w14:solidFill>
          </w14:textFill>
        </w:rPr>
        <w:t>依托</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兵团</w:t>
      </w:r>
      <w:r>
        <w:rPr>
          <w:rFonts w:ascii="Times New Roman" w:hAnsi="Times New Roman" w:eastAsia="仿宋_GB2312" w:cs="Times New Roman"/>
          <w:color w:val="000000" w:themeColor="text1"/>
          <w:sz w:val="32"/>
          <w:szCs w:val="32"/>
          <w:highlight w:val="none"/>
          <w:u w:val="none"/>
          <w14:textFill>
            <w14:solidFill>
              <w14:schemeClr w14:val="tx1"/>
            </w14:solidFill>
          </w14:textFill>
        </w:rPr>
        <w:t>一体化数据资源体系</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推动</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开展公共数据授权运营工作。</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打通公共数据汇聚治理、产品开发、场景应用等环节</w:t>
      </w:r>
      <w:r>
        <w:rPr>
          <w:rFonts w:hint="eastAsia" w:ascii="Times New Roman" w:hAnsi="Times New Roman" w:eastAsia="仿宋_GB2312" w:cs="Times New Roman"/>
          <w:strike w:val="0"/>
          <w:dstrike w:val="0"/>
          <w:color w:val="000000" w:themeColor="text1"/>
          <w:sz w:val="32"/>
          <w:szCs w:val="32"/>
          <w:highlight w:val="none"/>
          <w:u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稳步推进市场监管、医疗健康、交通运输、生态环境、地理空间、文化旅游、公共信用、气象等高价值公共数据资源的授权运营，</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形成标志性成果。</w:t>
      </w:r>
    </w:p>
    <w:p w14:paraId="266D9CDA">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i w:val="0"/>
          <w:iCs w:val="0"/>
          <w:caps w:val="0"/>
          <w:smallCaps w:val="0"/>
          <w:color w:val="000000" w:themeColor="text1"/>
          <w:spacing w:val="0"/>
          <w:sz w:val="32"/>
          <w:szCs w:val="32"/>
          <w:highlight w:val="none"/>
          <w:u w:val="none"/>
          <w:shd w:val="clear" w:color="auto" w:fill="FFFFFF"/>
          <w:vertAlign w:val="baseline"/>
          <w14:textFill>
            <w14:solidFill>
              <w14:schemeClr w14:val="tx1"/>
            </w14:solidFill>
          </w14:textFill>
        </w:rPr>
      </w:pPr>
      <w:r>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七</w:t>
      </w:r>
      <w:r>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）培育数据交易市场。</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制定《兵团数据交易管理办法》，规范数据流通交易行为。推广使用数据流通交易示范合同，有序开展数据流通交易合同登记备案。</w:t>
      </w:r>
      <w:r>
        <w:rPr>
          <w:rFonts w:ascii="Times New Roman" w:hAnsi="Times New Roman" w:eastAsia="仿宋_GB2312" w:cs="Times New Roman"/>
          <w:color w:val="000000" w:themeColor="text1"/>
          <w:sz w:val="32"/>
          <w:szCs w:val="32"/>
          <w:highlight w:val="none"/>
          <w:u w:val="none"/>
          <w14:textFill>
            <w14:solidFill>
              <w14:schemeClr w14:val="tx1"/>
            </w14:solidFill>
          </w14:textFill>
        </w:rPr>
        <w:t>培育一批数据商和第三方专业服务机构，规范开展数据资产评估、数据托管、合规咨询等专业服务</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ascii="Times New Roman" w:hAnsi="Times New Roman" w:eastAsia="仿宋_GB2312" w:cs="Times New Roman"/>
          <w:i w:val="0"/>
          <w:iCs w:val="0"/>
          <w:caps w:val="0"/>
          <w:smallCaps w:val="0"/>
          <w:color w:val="000000" w:themeColor="text1"/>
          <w:spacing w:val="0"/>
          <w:sz w:val="32"/>
          <w:szCs w:val="32"/>
          <w:highlight w:val="none"/>
          <w:u w:val="none"/>
          <w:shd w:val="clear" w:color="auto" w:fill="FFFFFF"/>
          <w:vertAlign w:val="baseline"/>
          <w14:textFill>
            <w14:solidFill>
              <w14:schemeClr w14:val="tx1"/>
            </w14:solidFill>
          </w14:textFill>
        </w:rPr>
        <w:t>健全数据供需对接机制。</w:t>
      </w:r>
      <w:r>
        <w:rPr>
          <w:rFonts w:ascii="Times New Roman" w:hAnsi="Times New Roman" w:eastAsia="仿宋_GB2312" w:cs="Times New Roman"/>
          <w:color w:val="000000" w:themeColor="text1"/>
          <w:sz w:val="32"/>
          <w:szCs w:val="32"/>
          <w:highlight w:val="none"/>
          <w:u w:val="none"/>
          <w14:textFill>
            <w14:solidFill>
              <w14:schemeClr w14:val="tx1"/>
            </w14:solidFill>
          </w14:textFill>
        </w:rPr>
        <w:t>深化跨区域数据要素流通合作</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探索兵团数据交易模式，建立兵团数据流通交易全链条服务体系</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繁荣数据产业生态。</w:t>
      </w:r>
      <w:r>
        <w:rPr>
          <w:rFonts w:ascii="Times New Roman" w:hAnsi="Times New Roman" w:eastAsia="仿宋_GB2312" w:cs="Times New Roman"/>
          <w:color w:val="000000" w:themeColor="text1"/>
          <w:sz w:val="32"/>
          <w:szCs w:val="32"/>
          <w:highlight w:val="none"/>
          <w:u w:val="none"/>
          <w14:textFill>
            <w14:solidFill>
              <w14:schemeClr w14:val="tx1"/>
            </w14:solidFill>
          </w14:textFill>
        </w:rPr>
        <w:t>引导</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兵团</w:t>
      </w:r>
      <w:r>
        <w:rPr>
          <w:rFonts w:ascii="Times New Roman" w:hAnsi="Times New Roman" w:eastAsia="仿宋_GB2312" w:cs="Times New Roman"/>
          <w:color w:val="000000" w:themeColor="text1"/>
          <w:sz w:val="32"/>
          <w:szCs w:val="32"/>
          <w:highlight w:val="none"/>
          <w:u w:val="none"/>
          <w14:textFill>
            <w14:solidFill>
              <w14:schemeClr w14:val="tx1"/>
            </w14:solidFill>
          </w14:textFill>
        </w:rPr>
        <w:t>数据产品和服务</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ascii="Times New Roman" w:hAnsi="Times New Roman" w:eastAsia="仿宋_GB2312" w:cs="Times New Roman"/>
          <w:i w:val="0"/>
          <w:iCs w:val="0"/>
          <w:caps w:val="0"/>
          <w:smallCaps w:val="0"/>
          <w:color w:val="000000" w:themeColor="text1"/>
          <w:spacing w:val="0"/>
          <w:sz w:val="32"/>
          <w:szCs w:val="32"/>
          <w:highlight w:val="none"/>
          <w:u w:val="none"/>
          <w:shd w:val="clear" w:color="auto" w:fill="FFFFFF"/>
          <w:vertAlign w:val="baseline"/>
          <w14:textFill>
            <w14:solidFill>
              <w14:schemeClr w14:val="tx1"/>
            </w14:solidFill>
          </w14:textFill>
        </w:rPr>
        <w:t>在合法设立的数据交易机构和数据流通交易平台开展数据流通交易。</w:t>
      </w:r>
    </w:p>
    <w:p w14:paraId="28E78B41">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pPr>
      <w:r>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八</w:t>
      </w:r>
      <w:r>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）推动数据跨境流通。</w:t>
      </w:r>
      <w:r>
        <w:rPr>
          <w:rFonts w:ascii="Times New Roman" w:hAnsi="Times New Roman" w:eastAsia="仿宋_GB2312" w:cs="Times New Roman"/>
          <w:i w:val="0"/>
          <w:iCs w:val="0"/>
          <w:caps w:val="0"/>
          <w:smallCaps w:val="0"/>
          <w:color w:val="000000" w:themeColor="text1"/>
          <w:spacing w:val="0"/>
          <w:sz w:val="32"/>
          <w:szCs w:val="32"/>
          <w:highlight w:val="none"/>
          <w:u w:val="none"/>
          <w:shd w:val="clear" w:color="auto" w:fill="FFFFFF"/>
          <w:vertAlign w:val="baseline"/>
          <w14:textFill>
            <w14:solidFill>
              <w14:schemeClr w14:val="tx1"/>
            </w14:solidFill>
          </w14:textFill>
        </w:rPr>
        <w:t>探索建立</w:t>
      </w:r>
      <w:r>
        <w:rPr>
          <w:rFonts w:hint="eastAsia" w:ascii="Times New Roman" w:hAnsi="Times New Roman" w:eastAsia="仿宋_GB2312" w:cs="Times New Roman"/>
          <w:i w:val="0"/>
          <w:iCs w:val="0"/>
          <w:caps w:val="0"/>
          <w:smallCaps w:val="0"/>
          <w:strike w:val="0"/>
          <w:dstrike w:val="0"/>
          <w:color w:val="000000" w:themeColor="text1"/>
          <w:spacing w:val="0"/>
          <w:sz w:val="32"/>
          <w:szCs w:val="32"/>
          <w:highlight w:val="none"/>
          <w:u w:val="none"/>
          <w:shd w:val="clear" w:color="auto" w:fill="FFFFFF"/>
          <w:vertAlign w:val="baseline"/>
          <w:lang w:eastAsia="zh-CN"/>
          <w14:textFill>
            <w14:solidFill>
              <w14:schemeClr w14:val="tx1"/>
            </w14:solidFill>
          </w14:textFill>
        </w:rPr>
        <w:t>安全合规高效</w:t>
      </w:r>
      <w:r>
        <w:rPr>
          <w:rFonts w:ascii="Times New Roman" w:hAnsi="Times New Roman" w:eastAsia="仿宋_GB2312" w:cs="Times New Roman"/>
          <w:i w:val="0"/>
          <w:iCs w:val="0"/>
          <w:caps w:val="0"/>
          <w:smallCaps w:val="0"/>
          <w:color w:val="000000" w:themeColor="text1"/>
          <w:spacing w:val="0"/>
          <w:sz w:val="32"/>
          <w:szCs w:val="32"/>
          <w:highlight w:val="none"/>
          <w:u w:val="none"/>
          <w:shd w:val="clear" w:color="auto" w:fill="FFFFFF"/>
          <w:vertAlign w:val="baseline"/>
          <w14:textFill>
            <w14:solidFill>
              <w14:schemeClr w14:val="tx1"/>
            </w14:solidFill>
          </w14:textFill>
        </w:rPr>
        <w:t>数据跨境流动机制。</w:t>
      </w:r>
      <w:r>
        <w:rPr>
          <w:rFonts w:hint="default" w:ascii="Times New Roman" w:hAnsi="Times New Roman" w:eastAsia="仿宋_GB2312" w:cs="Times New Roman"/>
          <w:color w:val="000000" w:themeColor="text1"/>
          <w:sz w:val="32"/>
          <w:szCs w:val="32"/>
          <w:vertAlign w:val="baseline"/>
          <w:lang w:eastAsia="zh-CN"/>
          <w14:textFill>
            <w14:solidFill>
              <w14:schemeClr w14:val="tx1"/>
            </w14:solidFill>
          </w14:textFill>
        </w:rPr>
        <w:t>加强数据出境政策培训，推动多渠道便利化的数据跨境流动监管。支持自由贸易试验区创新探索和先行先试，</w:t>
      </w:r>
      <w:r>
        <w:rPr>
          <w:rFonts w:hint="eastAsia" w:ascii="Times New Roman" w:hAnsi="Times New Roman" w:eastAsia="仿宋_GB2312" w:cs="Times New Roman"/>
          <w:color w:val="000000" w:themeColor="text1"/>
          <w:sz w:val="32"/>
          <w:szCs w:val="32"/>
          <w:vertAlign w:val="baseline"/>
          <w:lang w:val="en-US" w:eastAsia="zh-CN"/>
          <w14:textFill>
            <w14:solidFill>
              <w14:schemeClr w14:val="tx1"/>
            </w14:solidFill>
          </w14:textFill>
        </w:rPr>
        <w:t>探索与自治区联合</w:t>
      </w:r>
      <w:r>
        <w:rPr>
          <w:rFonts w:hint="default" w:ascii="Times New Roman" w:hAnsi="Times New Roman" w:eastAsia="仿宋_GB2312" w:cs="Times New Roman"/>
          <w:color w:val="000000" w:themeColor="text1"/>
          <w:sz w:val="32"/>
          <w:szCs w:val="32"/>
          <w:vertAlign w:val="baseline"/>
          <w:lang w:eastAsia="zh-CN"/>
          <w14:textFill>
            <w14:solidFill>
              <w14:schemeClr w14:val="tx1"/>
            </w14:solidFill>
          </w14:textFill>
        </w:rPr>
        <w:t>制定新疆自贸试验区数据出境负面清单</w:t>
      </w:r>
      <w:r>
        <w:rPr>
          <w:rFonts w:hint="eastAsia" w:ascii="Times New Roman" w:hAnsi="Times New Roman" w:eastAsia="仿宋_GB2312" w:cs="Times New Roman"/>
          <w:i w:val="0"/>
          <w:iCs w:val="0"/>
          <w:caps w:val="0"/>
          <w:smallCaps w:val="0"/>
          <w:color w:val="000000" w:themeColor="text1"/>
          <w:spacing w:val="0"/>
          <w:sz w:val="32"/>
          <w:szCs w:val="32"/>
          <w:highlight w:val="none"/>
          <w:u w:val="none"/>
          <w:shd w:val="clear" w:color="auto" w:fill="FFFFFF"/>
          <w:vertAlign w:val="baseline"/>
          <w:lang w:val="en-US" w:eastAsia="zh-CN"/>
          <w14:textFill>
            <w14:solidFill>
              <w14:schemeClr w14:val="tx1"/>
            </w14:solidFill>
          </w14:textFill>
        </w:rPr>
        <w:t>。</w:t>
      </w:r>
      <w:r>
        <w:rPr>
          <w:rFonts w:ascii="Times New Roman" w:hAnsi="Times New Roman" w:eastAsia="仿宋_GB2312" w:cs="Times New Roman"/>
          <w:i w:val="0"/>
          <w:iCs w:val="0"/>
          <w:caps w:val="0"/>
          <w:smallCaps w:val="0"/>
          <w:color w:val="000000" w:themeColor="text1"/>
          <w:spacing w:val="0"/>
          <w:sz w:val="32"/>
          <w:szCs w:val="32"/>
          <w:highlight w:val="none"/>
          <w:u w:val="none"/>
          <w:shd w:val="clear" w:color="auto" w:fill="FFFFFF"/>
          <w:vertAlign w:val="baseline"/>
          <w:lang w:val="en-US" w:eastAsia="zh-CN"/>
          <w14:textFill>
            <w14:solidFill>
              <w14:schemeClr w14:val="tx1"/>
            </w14:solidFill>
          </w14:textFill>
        </w:rPr>
        <w:t>立足区位优势，</w:t>
      </w:r>
      <w:r>
        <w:rPr>
          <w:rFonts w:hint="eastAsia" w:ascii="Times New Roman" w:hAnsi="Times New Roman" w:eastAsia="仿宋_GB2312" w:cs="Times New Roman"/>
          <w:i w:val="0"/>
          <w:iCs w:val="0"/>
          <w:caps w:val="0"/>
          <w:smallCaps w:val="0"/>
          <w:color w:val="000000" w:themeColor="text1"/>
          <w:spacing w:val="0"/>
          <w:sz w:val="32"/>
          <w:szCs w:val="32"/>
          <w:highlight w:val="none"/>
          <w:u w:val="none"/>
          <w:shd w:val="clear" w:color="auto" w:fill="FFFFFF"/>
          <w:vertAlign w:val="baseline"/>
          <w:lang w:val="en-US" w:eastAsia="zh-CN"/>
          <w14:textFill>
            <w14:solidFill>
              <w14:schemeClr w14:val="tx1"/>
            </w14:solidFill>
          </w14:textFill>
        </w:rPr>
        <w:t>加强</w:t>
      </w:r>
      <w:r>
        <w:rPr>
          <w:rFonts w:ascii="Times New Roman" w:hAnsi="Times New Roman" w:eastAsia="仿宋_GB2312" w:cs="Times New Roman"/>
          <w:i w:val="0"/>
          <w:iCs w:val="0"/>
          <w:caps w:val="0"/>
          <w:smallCaps w:val="0"/>
          <w:color w:val="000000" w:themeColor="text1"/>
          <w:spacing w:val="0"/>
          <w:sz w:val="32"/>
          <w:szCs w:val="32"/>
          <w:highlight w:val="none"/>
          <w:u w:val="none"/>
          <w:shd w:val="clear" w:color="auto" w:fill="FFFFFF"/>
          <w:vertAlign w:val="baseline"/>
          <w14:textFill>
            <w14:solidFill>
              <w14:schemeClr w14:val="tx1"/>
            </w14:solidFill>
          </w14:textFill>
        </w:rPr>
        <w:t>与</w:t>
      </w:r>
      <w:r>
        <w:rPr>
          <w:rFonts w:ascii="Times New Roman" w:hAnsi="Times New Roman" w:eastAsia="仿宋_GB2312" w:cs="Times New Roman"/>
          <w:i w:val="0"/>
          <w:iCs w:val="0"/>
          <w:caps w:val="0"/>
          <w:smallCaps w:val="0"/>
          <w:color w:val="000000" w:themeColor="text1"/>
          <w:spacing w:val="0"/>
          <w:sz w:val="32"/>
          <w:szCs w:val="32"/>
          <w:highlight w:val="none"/>
          <w:u w:val="none"/>
          <w:shd w:val="clear" w:color="auto" w:fill="FFFFFF"/>
          <w:vertAlign w:val="baseline"/>
          <w:lang w:eastAsia="zh-CN"/>
          <w14:textFill>
            <w14:solidFill>
              <w14:schemeClr w14:val="tx1"/>
            </w14:solidFill>
          </w14:textFill>
        </w:rPr>
        <w:t>“</w:t>
      </w:r>
      <w:r>
        <w:rPr>
          <w:rFonts w:ascii="Times New Roman" w:hAnsi="Times New Roman" w:eastAsia="仿宋_GB2312" w:cs="Times New Roman"/>
          <w:i w:val="0"/>
          <w:iCs w:val="0"/>
          <w:caps w:val="0"/>
          <w:smallCaps w:val="0"/>
          <w:color w:val="000000" w:themeColor="text1"/>
          <w:spacing w:val="0"/>
          <w:sz w:val="32"/>
          <w:szCs w:val="32"/>
          <w:highlight w:val="none"/>
          <w:u w:val="none"/>
          <w:shd w:val="clear" w:color="auto" w:fill="FFFFFF"/>
          <w:vertAlign w:val="baseline"/>
          <w14:textFill>
            <w14:solidFill>
              <w14:schemeClr w14:val="tx1"/>
            </w14:solidFill>
          </w14:textFill>
        </w:rPr>
        <w:t>一带一路</w:t>
      </w:r>
      <w:r>
        <w:rPr>
          <w:rFonts w:ascii="Times New Roman" w:hAnsi="Times New Roman" w:eastAsia="仿宋_GB2312" w:cs="Times New Roman"/>
          <w:i w:val="0"/>
          <w:iCs w:val="0"/>
          <w:caps w:val="0"/>
          <w:smallCaps w:val="0"/>
          <w:color w:val="000000" w:themeColor="text1"/>
          <w:spacing w:val="0"/>
          <w:sz w:val="32"/>
          <w:szCs w:val="32"/>
          <w:highlight w:val="none"/>
          <w:u w:val="none"/>
          <w:shd w:val="clear" w:color="auto" w:fill="FFFFFF"/>
          <w:vertAlign w:val="baseline"/>
          <w:lang w:eastAsia="zh-CN"/>
          <w14:textFill>
            <w14:solidFill>
              <w14:schemeClr w14:val="tx1"/>
            </w14:solidFill>
          </w14:textFill>
        </w:rPr>
        <w:t>”</w:t>
      </w:r>
      <w:r>
        <w:rPr>
          <w:rFonts w:ascii="Times New Roman" w:hAnsi="Times New Roman" w:eastAsia="仿宋_GB2312" w:cs="Times New Roman"/>
          <w:i w:val="0"/>
          <w:iCs w:val="0"/>
          <w:caps w:val="0"/>
          <w:smallCaps w:val="0"/>
          <w:color w:val="000000" w:themeColor="text1"/>
          <w:spacing w:val="0"/>
          <w:sz w:val="32"/>
          <w:szCs w:val="32"/>
          <w:highlight w:val="none"/>
          <w:u w:val="none"/>
          <w:shd w:val="clear" w:color="auto" w:fill="FFFFFF"/>
          <w:vertAlign w:val="baseline"/>
          <w14:textFill>
            <w14:solidFill>
              <w14:schemeClr w14:val="tx1"/>
            </w14:solidFill>
          </w14:textFill>
        </w:rPr>
        <w:t>沿线国家数据跨境流通合作，</w:t>
      </w:r>
      <w:r>
        <w:rPr>
          <w:rFonts w:ascii="Times New Roman" w:hAnsi="Times New Roman" w:eastAsia="仿宋_GB2312" w:cs="Times New Roman"/>
          <w:i w:val="0"/>
          <w:iCs w:val="0"/>
          <w:caps w:val="0"/>
          <w:smallCaps w:val="0"/>
          <w:color w:val="000000" w:themeColor="text1"/>
          <w:spacing w:val="0"/>
          <w:sz w:val="32"/>
          <w:szCs w:val="32"/>
          <w:highlight w:val="none"/>
          <w:u w:val="none"/>
          <w:shd w:val="clear" w:color="auto" w:fill="FFFFFF"/>
          <w:vertAlign w:val="baseline"/>
          <w:lang w:val="en-US" w:eastAsia="zh-CN"/>
          <w14:textFill>
            <w14:solidFill>
              <w14:schemeClr w14:val="tx1"/>
            </w14:solidFill>
          </w14:textFill>
        </w:rPr>
        <w:t>培育跨境服务生态</w:t>
      </w:r>
      <w:r>
        <w:rPr>
          <w:rFonts w:ascii="Times New Roman" w:hAnsi="Times New Roman" w:eastAsia="仿宋_GB2312" w:cs="Times New Roman"/>
          <w:i w:val="0"/>
          <w:iCs w:val="0"/>
          <w:caps w:val="0"/>
          <w:smallCaps w:val="0"/>
          <w:color w:val="000000" w:themeColor="text1"/>
          <w:spacing w:val="0"/>
          <w:sz w:val="32"/>
          <w:szCs w:val="32"/>
          <w:highlight w:val="none"/>
          <w:u w:val="none"/>
          <w:shd w:val="clear" w:color="auto" w:fill="FFFFFF"/>
          <w:vertAlign w:val="baseline"/>
          <w14:textFill>
            <w14:solidFill>
              <w14:schemeClr w14:val="tx1"/>
            </w14:solidFill>
          </w14:textFill>
        </w:rPr>
        <w:t>。</w:t>
      </w:r>
    </w:p>
    <w:p w14:paraId="539ADBC5">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九</w:t>
      </w:r>
      <w:r>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）合理分配数据收益。</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按照“谁投入、谁贡献、谁受益”原则，推进公共数据、企业数据、个人数据价格形成机制。对用于公共治理、公益事业的公共数据产品和服务有条件无偿使用，对用于产业发展、行业发展的公共数据产品和服务，确需收费的，实行政府指导价管理。探索建立市场化的企业和个人数据产品和服务价格形成机制，鼓励采用成本定价、收益定价、协商定价等多元方式。建立根据数据供给和运营评价、市场反馈等因素动态调整的收益分配机制。</w:t>
      </w:r>
    </w:p>
    <w:p w14:paraId="72056C33">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（十）建设数据基础设施。</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持续</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扩大千兆光纤网络覆盖范围，推进政务外网IPv6规模化部署，以电子政务外网为基础，融合视联网、物联网、广电网、算力网异构网络，构建安全可信的跨网数据交换体系。加快构建低空智联网，实现数据信息服务、互联网业务等领域互联互通。探索利用区块链、隐私计算等核心技术，搭建可信数据空间。支持建设面向社会提供数据汇聚、处理、流通、应用、运营、安全等服务的数据基础设施。</w:t>
      </w:r>
    </w:p>
    <w:p w14:paraId="4D45D46A">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pPr>
      <w:r>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（十</w:t>
      </w:r>
      <w:r>
        <w:rPr>
          <w:rFonts w:hint="eastAsia"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一</w:t>
      </w:r>
      <w:r>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）推进算力体系建设。</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按照“一核两基地”算力基础设施空间布局，推动兵团算力产业有序发展。</w:t>
      </w:r>
      <w:r>
        <w:rPr>
          <w:rFonts w:ascii="Times New Roman" w:hAnsi="Times New Roman" w:eastAsia="仿宋_GB2312" w:cs="Times New Roman"/>
          <w:color w:val="000000" w:themeColor="text1"/>
          <w:sz w:val="32"/>
          <w:szCs w:val="32"/>
          <w:highlight w:val="none"/>
          <w:u w:val="none"/>
          <w14:textFill>
            <w14:solidFill>
              <w14:schemeClr w14:val="tx1"/>
            </w14:solidFill>
          </w14:textFill>
        </w:rPr>
        <w:t>建设</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兵团</w:t>
      </w:r>
      <w:r>
        <w:rPr>
          <w:rFonts w:ascii="Times New Roman" w:hAnsi="Times New Roman" w:eastAsia="仿宋_GB2312" w:cs="Times New Roman"/>
          <w:color w:val="000000" w:themeColor="text1"/>
          <w:sz w:val="32"/>
          <w:szCs w:val="32"/>
          <w:highlight w:val="none"/>
          <w:u w:val="none"/>
          <w14:textFill>
            <w14:solidFill>
              <w14:schemeClr w14:val="tx1"/>
            </w14:solidFill>
          </w14:textFill>
        </w:rPr>
        <w:t>一体化算力监测调度平台</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u w:val="none"/>
          <w14:textFill>
            <w14:solidFill>
              <w14:schemeClr w14:val="tx1"/>
            </w14:solidFill>
          </w14:textFill>
        </w:rPr>
        <w:t>实现</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全兵团</w:t>
      </w:r>
      <w:r>
        <w:rPr>
          <w:rFonts w:ascii="Times New Roman" w:hAnsi="Times New Roman" w:eastAsia="仿宋_GB2312" w:cs="Times New Roman"/>
          <w:color w:val="000000" w:themeColor="text1"/>
          <w:sz w:val="32"/>
          <w:szCs w:val="32"/>
          <w:highlight w:val="none"/>
          <w:u w:val="none"/>
          <w14:textFill>
            <w14:solidFill>
              <w14:schemeClr w14:val="tx1"/>
            </w14:solidFill>
          </w14:textFill>
        </w:rPr>
        <w:t>算力资源统一纳管和跨区域服务</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。优化升级辖区内骨干网络，提高十二师到各师市及重点园区的网络带宽和质量，</w:t>
      </w:r>
      <w:r>
        <w:rPr>
          <w:rFonts w:ascii="Times New Roman" w:hAnsi="Times New Roman" w:eastAsia="仿宋_GB2312" w:cs="Times New Roman"/>
          <w:color w:val="000000" w:themeColor="text1"/>
          <w:sz w:val="32"/>
          <w:szCs w:val="32"/>
          <w:highlight w:val="none"/>
          <w:u w:val="none"/>
          <w14:textFill>
            <w14:solidFill>
              <w14:schemeClr w14:val="tx1"/>
            </w14:solidFill>
          </w14:textFill>
        </w:rPr>
        <w:t>全面提升算力</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基础</w:t>
      </w:r>
      <w:r>
        <w:rPr>
          <w:rFonts w:ascii="Times New Roman" w:hAnsi="Times New Roman" w:eastAsia="仿宋_GB2312" w:cs="Times New Roman"/>
          <w:color w:val="000000" w:themeColor="text1"/>
          <w:sz w:val="32"/>
          <w:szCs w:val="32"/>
          <w:highlight w:val="none"/>
          <w:u w:val="none"/>
          <w14:textFill>
            <w14:solidFill>
              <w14:schemeClr w14:val="tx1"/>
            </w14:solidFill>
          </w14:textFill>
        </w:rPr>
        <w:t>设施供给能力。充分发挥</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新疆</w:t>
      </w:r>
      <w:r>
        <w:rPr>
          <w:rFonts w:ascii="Times New Roman" w:hAnsi="Times New Roman" w:eastAsia="仿宋_GB2312" w:cs="Times New Roman"/>
          <w:color w:val="000000" w:themeColor="text1"/>
          <w:sz w:val="32"/>
          <w:szCs w:val="32"/>
          <w:highlight w:val="none"/>
          <w:u w:val="none"/>
          <w14:textFill>
            <w14:solidFill>
              <w14:schemeClr w14:val="tx1"/>
            </w14:solidFill>
          </w14:textFill>
        </w:rPr>
        <w:t>能源资源优势</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积极融入“东数西算”工程和全国一体化算力网，</w:t>
      </w:r>
      <w:r>
        <w:rPr>
          <w:rFonts w:ascii="Times New Roman" w:hAnsi="Times New Roman" w:eastAsia="仿宋_GB2312" w:cs="Times New Roman"/>
          <w:color w:val="000000" w:themeColor="text1"/>
          <w:sz w:val="32"/>
          <w:szCs w:val="32"/>
          <w:highlight w:val="none"/>
          <w:u w:val="none"/>
          <w14:textFill>
            <w14:solidFill>
              <w14:schemeClr w14:val="tx1"/>
            </w14:solidFill>
          </w14:textFill>
        </w:rPr>
        <w:t>推进全国一体化算力网</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u w:val="none"/>
          <w14:textFill>
            <w14:solidFill>
              <w14:schemeClr w14:val="tx1"/>
            </w14:solidFill>
          </w14:textFill>
        </w:rPr>
        <w:t>算力电力</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协同）</w:t>
      </w:r>
      <w:r>
        <w:rPr>
          <w:rFonts w:ascii="Times New Roman" w:hAnsi="Times New Roman" w:eastAsia="仿宋_GB2312" w:cs="Times New Roman"/>
          <w:color w:val="000000" w:themeColor="text1"/>
          <w:sz w:val="32"/>
          <w:szCs w:val="32"/>
          <w:highlight w:val="none"/>
          <w:u w:val="none"/>
          <w14:textFill>
            <w14:solidFill>
              <w14:schemeClr w14:val="tx1"/>
            </w14:solidFill>
          </w14:textFill>
        </w:rPr>
        <w:t>试点任务</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推动实现算力入园、入企，加快各类数据资源互联成网。探索向中亚周边国家算力出口，推动“亚数亚算”。</w:t>
      </w:r>
    </w:p>
    <w:p w14:paraId="622E9AA7">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outlineLvl w:val="0"/>
        <w:rPr>
          <w:rFonts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ascii="Times New Roman" w:hAnsi="Times New Roman" w:eastAsia="黑体" w:cs="Times New Roman"/>
          <w:color w:val="000000" w:themeColor="text1"/>
          <w:sz w:val="32"/>
          <w:szCs w:val="32"/>
          <w:highlight w:val="none"/>
          <w:u w:val="none"/>
          <w:lang w:eastAsia="zh-CN"/>
          <w14:textFill>
            <w14:solidFill>
              <w14:schemeClr w14:val="tx1"/>
            </w14:solidFill>
          </w14:textFill>
        </w:rPr>
        <w:t>四、深化数据高价值应用</w:t>
      </w:r>
    </w:p>
    <w:p w14:paraId="1E76AB8C">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（十</w:t>
      </w:r>
      <w:r>
        <w:rPr>
          <w:rFonts w:hint="eastAsia"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二</w:t>
      </w:r>
      <w:r>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）推动公共数据应用。</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以“数据要素×”大赛兵团分赛为牵引，打造一批“数据要素×”典型应用场景，</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释放要素价值，发挥数据要素赋能经济社会发展作用，</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建立应用场景案例库，推动民生密切相关、社会迫切需要的公共数据以产品和服务的形式向社会提供。激励社会各界共同挖掘市场需求、广泛参与公共数据开发利用，推动公共数据与社会数据融合应用。</w:t>
      </w:r>
    </w:p>
    <w:p w14:paraId="7B00D351">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pPr>
      <w:r>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（十</w:t>
      </w:r>
      <w:r>
        <w:rPr>
          <w:rFonts w:hint="eastAsia"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三</w:t>
      </w:r>
      <w:r>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w:t>
      </w:r>
      <w:r>
        <w:rPr>
          <w:rFonts w:hint="eastAsia" w:ascii="Times New Roman" w:hAnsi="Times New Roman" w:eastAsia="楷体_GB2312" w:cs="Times New Roman"/>
          <w:strike w:val="0"/>
          <w:dstrike w:val="0"/>
          <w:color w:val="000000" w:themeColor="text1"/>
          <w:sz w:val="32"/>
          <w:szCs w:val="32"/>
          <w:highlight w:val="none"/>
          <w:u w:val="none"/>
          <w:lang w:val="en-US" w:eastAsia="zh-CN"/>
          <w14:textFill>
            <w14:solidFill>
              <w14:schemeClr w14:val="tx1"/>
            </w14:solidFill>
          </w14:textFill>
        </w:rPr>
        <w:t>深化</w:t>
      </w:r>
      <w:r>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企业数据应用。</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以数据安全与可信流通为核心，分层分类推进</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行业、企业</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可信数据空间建设，</w:t>
      </w:r>
      <w:r>
        <w:rPr>
          <w:rFonts w:ascii="Times New Roman" w:hAnsi="Times New Roman" w:eastAsia="仿宋_GB2312" w:cs="Times New Roman"/>
          <w:color w:val="000000" w:themeColor="text1"/>
          <w:sz w:val="32"/>
          <w:szCs w:val="32"/>
          <w:highlight w:val="none"/>
          <w:u w:val="none"/>
          <w14:textFill>
            <w14:solidFill>
              <w14:schemeClr w14:val="tx1"/>
            </w14:solidFill>
          </w14:textFill>
        </w:rPr>
        <w:t>鼓励</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龙头</w:t>
      </w:r>
      <w:r>
        <w:rPr>
          <w:rFonts w:ascii="Times New Roman" w:hAnsi="Times New Roman" w:eastAsia="仿宋_GB2312" w:cs="Times New Roman"/>
          <w:color w:val="000000" w:themeColor="text1"/>
          <w:sz w:val="32"/>
          <w:szCs w:val="32"/>
          <w:highlight w:val="none"/>
          <w:u w:val="none"/>
          <w14:textFill>
            <w14:solidFill>
              <w14:schemeClr w14:val="tx1"/>
            </w14:solidFill>
          </w14:textFill>
        </w:rPr>
        <w:t>企业</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链主企业</w:t>
      </w:r>
      <w:r>
        <w:rPr>
          <w:rFonts w:ascii="Times New Roman" w:hAnsi="Times New Roman" w:eastAsia="仿宋_GB2312" w:cs="Times New Roman"/>
          <w:color w:val="000000" w:themeColor="text1"/>
          <w:sz w:val="32"/>
          <w:szCs w:val="32"/>
          <w:highlight w:val="none"/>
          <w:u w:val="none"/>
          <w14:textFill>
            <w14:solidFill>
              <w14:schemeClr w14:val="tx1"/>
            </w14:solidFill>
          </w14:textFill>
        </w:rPr>
        <w:t>牵头建设、运营可信数据空间</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，挖掘数据价值。运用前沿技术，打通数据壁垒，推动各方在共识规则下开展数据</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融合应用</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，形成数据合规高效流通使用范式。</w:t>
      </w:r>
      <w:r>
        <w:rPr>
          <w:rFonts w:ascii="Times New Roman" w:hAnsi="Times New Roman" w:eastAsia="仿宋_GB2312" w:cs="Times New Roman"/>
          <w:color w:val="000000" w:themeColor="text1"/>
          <w:sz w:val="32"/>
          <w:szCs w:val="32"/>
          <w:highlight w:val="none"/>
          <w:u w:val="none"/>
          <w14:textFill>
            <w14:solidFill>
              <w14:schemeClr w14:val="tx1"/>
            </w14:solidFill>
          </w14:textFill>
        </w:rPr>
        <w:t>深化产业上下游企业数据开发利用</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u w:val="none"/>
          <w14:textFill>
            <w14:solidFill>
              <w14:schemeClr w14:val="tx1"/>
            </w14:solidFill>
          </w14:textFill>
        </w:rPr>
        <w:t>促进产业链端到端数据流通共享利用</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，构建安全开放的数据应用生态。</w:t>
      </w:r>
    </w:p>
    <w:p w14:paraId="5C385556">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pPr>
      <w:r>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（十</w:t>
      </w:r>
      <w:r>
        <w:rPr>
          <w:rFonts w:hint="eastAsia"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四</w:t>
      </w:r>
      <w:r>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）探索个人数据应用。</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对承载个人信息的数据，推动数据处理者按照个人授权范围依法依规采集、持有、托管和使用数据，规范对个人信息的处理活动，不得过度收集个人信息，促进个人信息合理利用。探索由受托者代表个人利益，监督市场主体对个人信息数据进行采集、加工、使用的机制。推动个人数据在商业保险理赔、远程医疗问诊、交通出行服务等领域深度应用，探索个人信用数据、行为数据转化为可量化服务权益。</w:t>
      </w:r>
    </w:p>
    <w:p w14:paraId="19D5B2F0">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pPr>
      <w:r>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（十</w:t>
      </w:r>
      <w:r>
        <w:rPr>
          <w:rFonts w:hint="eastAsia"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五</w:t>
      </w:r>
      <w:r>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）打造高质量数据集。</w:t>
      </w:r>
      <w:r>
        <w:rPr>
          <w:rFonts w:ascii="Times New Roman" w:hAnsi="Times New Roman" w:eastAsia="仿宋_GB2312" w:cs="Times New Roman"/>
          <w:color w:val="000000" w:themeColor="text1"/>
          <w:sz w:val="32"/>
          <w:szCs w:val="32"/>
          <w:highlight w:val="none"/>
          <w:u w:val="none"/>
          <w14:textFill>
            <w14:solidFill>
              <w14:schemeClr w14:val="tx1"/>
            </w14:solidFill>
          </w14:textFill>
        </w:rPr>
        <w:t>鼓励</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兵团</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企业、科研机构、高等院校</w:t>
      </w:r>
      <w:r>
        <w:rPr>
          <w:rFonts w:ascii="Times New Roman" w:hAnsi="Times New Roman" w:eastAsia="仿宋_GB2312" w:cs="Times New Roman"/>
          <w:color w:val="000000" w:themeColor="text1"/>
          <w:sz w:val="32"/>
          <w:szCs w:val="32"/>
          <w:highlight w:val="none"/>
          <w:u w:val="none"/>
          <w14:textFill>
            <w14:solidFill>
              <w14:schemeClr w14:val="tx1"/>
            </w14:solidFill>
          </w14:textFill>
        </w:rPr>
        <w:t>参与制定数据集地方标准、团体标准。支持打造支撑通用模型的通识数据集、支撑行业模型的行业通识数据集、支撑业务场景模型的行业专识数据集</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，在</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政务服务、农业农村、智慧能源、</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金融服务、医疗卫生、教育教学、公共安全、城市治理等领域</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推动建设高质量数据集</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w:t>
      </w:r>
    </w:p>
    <w:p w14:paraId="24962624">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pPr>
      <w:r>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（十</w:t>
      </w:r>
      <w:r>
        <w:rPr>
          <w:rFonts w:hint="eastAsia"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六</w:t>
      </w:r>
      <w:r>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）开展“人工智能+”行动。</w:t>
      </w:r>
      <w:r>
        <w:rPr>
          <w:rFonts w:ascii="Times New Roman" w:hAnsi="Times New Roman" w:eastAsia="仿宋_GB2312" w:cs="Times New Roman"/>
          <w:i w:val="0"/>
          <w:iCs w:val="0"/>
          <w:caps w:val="0"/>
          <w:smallCaps w:val="0"/>
          <w:color w:val="000000" w:themeColor="text1"/>
          <w:spacing w:val="0"/>
          <w:sz w:val="32"/>
          <w:szCs w:val="32"/>
          <w:highlight w:val="none"/>
          <w:u w:val="none"/>
          <w:shd w:val="clear" w:color="auto" w:fill="FFFFFF"/>
          <w14:textFill>
            <w14:solidFill>
              <w14:schemeClr w14:val="tx1"/>
            </w14:solidFill>
          </w14:textFill>
        </w:rPr>
        <w:t>推动人工智能与各行业各领域广泛深度融合</w:t>
      </w:r>
      <w:r>
        <w:rPr>
          <w:rFonts w:ascii="Times New Roman" w:hAnsi="Times New Roman" w:eastAsia="仿宋_GB2312" w:cs="Times New Roman"/>
          <w:i w:val="0"/>
          <w:iCs w:val="0"/>
          <w:caps w:val="0"/>
          <w:smallCaps w:val="0"/>
          <w:color w:val="000000" w:themeColor="text1"/>
          <w:spacing w:val="0"/>
          <w:sz w:val="32"/>
          <w:szCs w:val="32"/>
          <w:highlight w:val="none"/>
          <w:u w:val="none"/>
          <w:shd w:val="clear" w:color="auto" w:fill="FFFFFF"/>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培育一批融合行业数据集的人工智能大模型。</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推进人工智能在政务服务、工业制造、农业农村、医疗卫生、交通运输、文化旅游等领域深度应用，全方位赋能千行百业。</w:t>
      </w:r>
      <w:r>
        <w:rPr>
          <w:rFonts w:ascii="Times New Roman" w:hAnsi="Times New Roman" w:eastAsia="仿宋_GB2312" w:cs="Times New Roman"/>
          <w:i w:val="0"/>
          <w:iCs w:val="0"/>
          <w:caps w:val="0"/>
          <w:smallCaps w:val="0"/>
          <w:strike w:val="0"/>
          <w:dstrike w:val="0"/>
          <w:color w:val="000000" w:themeColor="text1"/>
          <w:spacing w:val="0"/>
          <w:sz w:val="32"/>
          <w:szCs w:val="32"/>
          <w:highlight w:val="none"/>
          <w:u w:val="none"/>
          <w:shd w:val="clear" w:color="auto" w:fill="FFFFFF"/>
          <w14:textFill>
            <w14:solidFill>
              <w14:schemeClr w14:val="tx1"/>
            </w14:solidFill>
          </w14:textFill>
        </w:rPr>
        <w:t>有序推动市政基础设施智能化改造升级，提升城市运行智能化水平。</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鼓励有条件的企业将人工智能融入战略规划、业务流程等，开辟战略性新兴产业和未来产业发展新赛道。</w:t>
      </w:r>
    </w:p>
    <w:p w14:paraId="2CFC3965">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outlineLvl w:val="0"/>
        <w:rPr>
          <w:rFonts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ascii="Times New Roman" w:hAnsi="Times New Roman" w:eastAsia="黑体" w:cs="Times New Roman"/>
          <w:color w:val="000000" w:themeColor="text1"/>
          <w:sz w:val="32"/>
          <w:szCs w:val="32"/>
          <w:highlight w:val="none"/>
          <w:u w:val="none"/>
          <w:lang w:eastAsia="zh-CN"/>
          <w14:textFill>
            <w14:solidFill>
              <w14:schemeClr w14:val="tx1"/>
            </w14:solidFill>
          </w14:textFill>
        </w:rPr>
        <w:t>五、强化数据高水平安全</w:t>
      </w:r>
    </w:p>
    <w:p w14:paraId="6104BF37">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Times New Roman" w:hAnsi="Times New Roman" w:eastAsia="楷体_GB2312" w:cs="Times New Roman"/>
          <w:color w:val="000000" w:themeColor="text1"/>
          <w:sz w:val="32"/>
          <w:szCs w:val="32"/>
          <w:highlight w:val="none"/>
          <w:u w:val="none"/>
          <w:lang w:eastAsia="zh-CN"/>
          <w14:textFill>
            <w14:solidFill>
              <w14:schemeClr w14:val="tx1"/>
            </w14:solidFill>
          </w14:textFill>
        </w:rPr>
      </w:pPr>
      <w:r>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（十</w:t>
      </w:r>
      <w:r>
        <w:rPr>
          <w:rFonts w:hint="eastAsia"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七</w:t>
      </w:r>
      <w:r>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）强化数据安全治理。</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制定</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兵团公共数据分类分级指南》，开展数据资源分类分级工作，构建涵盖数据全生命周期的数据治理体系</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u w:val="none"/>
          <w14:textFill>
            <w14:solidFill>
              <w14:schemeClr w14:val="tx1"/>
            </w14:solidFill>
          </w14:textFill>
        </w:rPr>
        <w:t>建立数据要素流通使用全过程的合规公证、安全审查、算法审查、监测预警等制度</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u w:val="none"/>
          <w14:textFill>
            <w14:solidFill>
              <w14:schemeClr w14:val="tx1"/>
            </w14:solidFill>
          </w14:textFill>
        </w:rPr>
        <w:t>健全数据安全治理责任和应急处置等机制</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加强数据应用、数据治理、数据共享、数据交易等环节监管，</w:t>
      </w:r>
      <w:r>
        <w:rPr>
          <w:rFonts w:ascii="Times New Roman" w:hAnsi="Times New Roman" w:eastAsia="仿宋_GB2312" w:cs="Times New Roman"/>
          <w:color w:val="000000" w:themeColor="text1"/>
          <w:sz w:val="32"/>
          <w:szCs w:val="32"/>
          <w:highlight w:val="none"/>
          <w:u w:val="none"/>
          <w14:textFill>
            <w14:solidFill>
              <w14:schemeClr w14:val="tx1"/>
            </w14:solidFill>
          </w14:textFill>
        </w:rPr>
        <w:t>构建政府、企业、社会多方</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协</w:t>
      </w:r>
      <w:r>
        <w:rPr>
          <w:rFonts w:ascii="Times New Roman" w:hAnsi="Times New Roman" w:eastAsia="仿宋_GB2312" w:cs="Times New Roman"/>
          <w:color w:val="000000" w:themeColor="text1"/>
          <w:sz w:val="32"/>
          <w:szCs w:val="32"/>
          <w:highlight w:val="none"/>
          <w:u w:val="none"/>
          <w14:textFill>
            <w14:solidFill>
              <w14:schemeClr w14:val="tx1"/>
            </w14:solidFill>
          </w14:textFill>
        </w:rPr>
        <w:t>同的数据治理模式。加大个人信息保护力度</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u w:val="none"/>
          <w14:textFill>
            <w14:solidFill>
              <w14:schemeClr w14:val="tx1"/>
            </w14:solidFill>
          </w14:textFill>
        </w:rPr>
        <w:t>规范采集使用个人信息行为。</w:t>
      </w:r>
    </w:p>
    <w:p w14:paraId="7BD54DC0">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pPr>
      <w:r>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十八</w:t>
      </w:r>
      <w:r>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）加强安全技术防护。</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加强数据安全监测、加密防护、数据脱敏、隐私计算</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、审计溯源</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等安全保障技术研发与应用，</w:t>
      </w:r>
      <w:r>
        <w:rPr>
          <w:rFonts w:ascii="Times New Roman" w:hAnsi="Times New Roman" w:eastAsia="仿宋_GB2312" w:cs="Times New Roman"/>
          <w:color w:val="000000" w:themeColor="text1"/>
          <w:sz w:val="32"/>
          <w:szCs w:val="32"/>
          <w:highlight w:val="none"/>
          <w:u w:val="none"/>
          <w14:textFill>
            <w14:solidFill>
              <w14:schemeClr w14:val="tx1"/>
            </w14:solidFill>
          </w14:textFill>
        </w:rPr>
        <w:t>制定</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兵团</w:t>
      </w:r>
      <w:r>
        <w:rPr>
          <w:rFonts w:ascii="Times New Roman" w:hAnsi="Times New Roman" w:eastAsia="仿宋_GB2312" w:cs="Times New Roman"/>
          <w:color w:val="000000" w:themeColor="text1"/>
          <w:sz w:val="32"/>
          <w:szCs w:val="32"/>
          <w:highlight w:val="none"/>
          <w:u w:val="none"/>
          <w14:textFill>
            <w14:solidFill>
              <w14:schemeClr w14:val="tx1"/>
            </w14:solidFill>
          </w14:textFill>
        </w:rPr>
        <w:t>政务云服务指导目录和动态调整机制</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，加强统一安全底座防护，</w:t>
      </w:r>
      <w:r>
        <w:rPr>
          <w:rFonts w:ascii="Times New Roman" w:hAnsi="Times New Roman" w:eastAsia="仿宋_GB2312" w:cs="Times New Roman"/>
          <w:color w:val="000000" w:themeColor="text1"/>
          <w:sz w:val="32"/>
          <w:szCs w:val="32"/>
          <w:highlight w:val="none"/>
          <w:u w:val="none"/>
          <w14:textFill>
            <w14:solidFill>
              <w14:schemeClr w14:val="tx1"/>
            </w14:solidFill>
          </w14:textFill>
        </w:rPr>
        <w:t>持续推进政务信息化系统</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迁移</w:t>
      </w:r>
      <w:r>
        <w:rPr>
          <w:rFonts w:ascii="Times New Roman" w:hAnsi="Times New Roman" w:eastAsia="仿宋_GB2312" w:cs="Times New Roman"/>
          <w:color w:val="000000" w:themeColor="text1"/>
          <w:sz w:val="32"/>
          <w:szCs w:val="32"/>
          <w:highlight w:val="none"/>
          <w:u w:val="none"/>
          <w14:textFill>
            <w14:solidFill>
              <w14:schemeClr w14:val="tx1"/>
            </w14:solidFill>
          </w14:textFill>
        </w:rPr>
        <w:t>上云</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u w:val="none"/>
          <w14:textFill>
            <w14:solidFill>
              <w14:schemeClr w14:val="tx1"/>
            </w14:solidFill>
          </w14:textFill>
        </w:rPr>
        <w:t>推进电子政务外网基础设施国产化替代</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强化安全可靠技术和产品应用，推动商用密码体系化应用。推动个人信息匿名化处理。加强安全事件预测预警和发现处置，提高机关、企事业单位数据安全防范能力。</w:t>
      </w:r>
    </w:p>
    <w:p w14:paraId="0F9C7215">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both"/>
        <w:textAlignment w:val="auto"/>
        <w:outlineLvl w:val="0"/>
        <w:rPr>
          <w:rFonts w:ascii="Times New Roman" w:hAnsi="Times New Roman" w:eastAsia="仿宋_GB2312" w:cs="Times New Roman"/>
          <w:color w:val="000000" w:themeColor="text1"/>
          <w:sz w:val="32"/>
          <w:szCs w:val="32"/>
          <w:highlight w:val="none"/>
          <w:u w:val="none"/>
          <w14:textFill>
            <w14:solidFill>
              <w14:schemeClr w14:val="tx1"/>
            </w14:solidFill>
          </w14:textFill>
        </w:rPr>
      </w:pPr>
      <w:r>
        <w:rPr>
          <w:rFonts w:ascii="Times New Roman" w:hAnsi="Times New Roman" w:eastAsia="黑体" w:cs="Times New Roman"/>
          <w:color w:val="000000" w:themeColor="text1"/>
          <w:sz w:val="32"/>
          <w:szCs w:val="32"/>
          <w:highlight w:val="none"/>
          <w:u w:val="none"/>
          <w:lang w:eastAsia="zh-CN"/>
          <w14:textFill>
            <w14:solidFill>
              <w14:schemeClr w14:val="tx1"/>
            </w14:solidFill>
          </w14:textFill>
        </w:rPr>
        <w:t>六、培育数据高能级生态</w:t>
      </w:r>
    </w:p>
    <w:p w14:paraId="1E52F7BC">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pPr>
      <w:r>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十九</w:t>
      </w:r>
      <w:r>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）培育数据服务生态。</w:t>
      </w:r>
      <w:r>
        <w:rPr>
          <w:rFonts w:ascii="Times New Roman" w:hAnsi="Times New Roman" w:eastAsia="仿宋_GB2312" w:cs="Times New Roman"/>
          <w:color w:val="000000" w:themeColor="text1"/>
          <w:sz w:val="32"/>
          <w:szCs w:val="32"/>
          <w:highlight w:val="none"/>
          <w:u w:val="none"/>
          <w14:textFill>
            <w14:solidFill>
              <w14:schemeClr w14:val="tx1"/>
            </w14:solidFill>
          </w14:textFill>
        </w:rPr>
        <w:t>围绕</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促进数据安全合规高效</w:t>
      </w:r>
      <w:r>
        <w:rPr>
          <w:rFonts w:ascii="Times New Roman" w:hAnsi="Times New Roman" w:eastAsia="仿宋_GB2312" w:cs="Times New Roman"/>
          <w:color w:val="000000" w:themeColor="text1"/>
          <w:sz w:val="32"/>
          <w:szCs w:val="32"/>
          <w:highlight w:val="none"/>
          <w:u w:val="none"/>
          <w14:textFill>
            <w14:solidFill>
              <w14:schemeClr w14:val="tx1"/>
            </w14:solidFill>
          </w14:textFill>
        </w:rPr>
        <w:t>流通交易需求，建立健全数据开发利用服务链条。</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大力培育为数据交易双方提供数据产品开发、数据资产化服务的数据商。</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支持</w:t>
      </w:r>
      <w:r>
        <w:rPr>
          <w:rFonts w:hint="eastAsia" w:ascii="Times New Roman" w:hAnsi="Times New Roman" w:eastAsia="仿宋_GB2312" w:cs="仿宋_GB2312"/>
          <w:b w:val="0"/>
          <w:bCs w:val="0"/>
          <w:i w:val="0"/>
          <w:iCs w:val="0"/>
          <w:caps w:val="0"/>
          <w:color w:val="000000" w:themeColor="text1"/>
          <w:spacing w:val="0"/>
          <w:sz w:val="32"/>
          <w:szCs w:val="32"/>
          <w:highlight w:val="none"/>
          <w:u w:val="none"/>
          <w:shd w:val="clear" w:fill="FFFFFF"/>
          <w14:textFill>
            <w14:solidFill>
              <w14:schemeClr w14:val="tx1"/>
            </w14:solidFill>
          </w14:textFill>
        </w:rPr>
        <w:t>数据商积极汇聚各种数据资源，针对性开展数据汇聚、流通、交换、交易和开发利用，</w:t>
      </w:r>
      <w:r>
        <w:rPr>
          <w:rFonts w:hint="eastAsia" w:ascii="Times New Roman" w:hAnsi="Times New Roman" w:eastAsia="仿宋_GB2312" w:cs="仿宋_GB2312"/>
          <w:b w:val="0"/>
          <w:bCs w:val="0"/>
          <w:i w:val="0"/>
          <w:iCs w:val="0"/>
          <w:caps w:val="0"/>
          <w:color w:val="000000" w:themeColor="text1"/>
          <w:spacing w:val="0"/>
          <w:sz w:val="32"/>
          <w:szCs w:val="32"/>
          <w:highlight w:val="none"/>
          <w:u w:val="none"/>
          <w:shd w:val="clear" w:fill="FFFFFF"/>
          <w:lang w:eastAsia="zh-CN"/>
          <w14:textFill>
            <w14:solidFill>
              <w14:schemeClr w14:val="tx1"/>
            </w14:solidFill>
          </w14:textFill>
        </w:rPr>
        <w:t>提升服务能力，促进数据流通交易。</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引育</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贴近业务需求的行业性、产业化数据商。</w:t>
      </w:r>
      <w:r>
        <w:rPr>
          <w:rFonts w:ascii="Times New Roman" w:hAnsi="Times New Roman" w:eastAsia="仿宋_GB2312" w:cs="Times New Roman"/>
          <w:color w:val="000000" w:themeColor="text1"/>
          <w:sz w:val="32"/>
          <w:szCs w:val="32"/>
          <w:highlight w:val="none"/>
          <w:u w:val="none"/>
          <w14:textFill>
            <w14:solidFill>
              <w14:schemeClr w14:val="tx1"/>
            </w14:solidFill>
          </w14:textFill>
        </w:rPr>
        <w:t>培育数据集成、合规认证</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u w:val="none"/>
          <w14:textFill>
            <w14:solidFill>
              <w14:schemeClr w14:val="tx1"/>
            </w14:solidFill>
          </w14:textFill>
        </w:rPr>
        <w:t>数据托管、资产评估、风险评估等</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第三方机构。</w:t>
      </w:r>
      <w:r>
        <w:rPr>
          <w:rFonts w:ascii="Times New Roman" w:hAnsi="Times New Roman" w:eastAsia="仿宋_GB2312" w:cs="Times New Roman"/>
          <w:color w:val="000000" w:themeColor="text1"/>
          <w:sz w:val="32"/>
          <w:szCs w:val="32"/>
          <w:highlight w:val="none"/>
          <w:u w:val="none"/>
          <w14:textFill>
            <w14:solidFill>
              <w14:schemeClr w14:val="tx1"/>
            </w14:solidFill>
          </w14:textFill>
        </w:rPr>
        <w:t>鼓励银行创新金融服务产品，加大对数据要素型企业和数商的融资支持。打造</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兵团</w:t>
      </w:r>
      <w:r>
        <w:rPr>
          <w:rFonts w:ascii="Times New Roman" w:hAnsi="Times New Roman" w:eastAsia="仿宋_GB2312" w:cs="Times New Roman"/>
          <w:color w:val="000000" w:themeColor="text1"/>
          <w:sz w:val="32"/>
          <w:szCs w:val="32"/>
          <w:highlight w:val="none"/>
          <w:u w:val="none"/>
          <w14:textFill>
            <w14:solidFill>
              <w14:schemeClr w14:val="tx1"/>
            </w14:solidFill>
          </w14:textFill>
        </w:rPr>
        <w:t>数商生态体系，提升数据要素价值化全流程服务能力</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p>
    <w:p w14:paraId="47F195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pPr>
      <w:r>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（二十）提升数据产业创新力。</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推动数据领域科技创新与产业创新深度融合，构建企业主导的产学研用协同创新体系。</w:t>
      </w:r>
      <w:r>
        <w:rPr>
          <w:rFonts w:hint="eastAsia" w:ascii="Times New Roman" w:hAnsi="Times New Roman" w:eastAsia="仿宋_GB2312" w:cs="Times New Roman"/>
          <w:color w:val="000000" w:themeColor="text1"/>
          <w:sz w:val="32"/>
          <w:szCs w:val="32"/>
          <w:highlight w:val="none"/>
          <w:u w:val="none"/>
          <w14:textFill>
            <w14:solidFill>
              <w14:schemeClr w14:val="tx1"/>
            </w14:solidFill>
          </w14:textFill>
        </w:rPr>
        <w:t>鼓励兵团企业联合高等院校、科研机构等组成创新联合体，强</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化</w:t>
      </w:r>
      <w:r>
        <w:rPr>
          <w:rFonts w:hint="eastAsia" w:ascii="Times New Roman" w:hAnsi="Times New Roman" w:eastAsia="仿宋_GB2312" w:cs="Times New Roman"/>
          <w:color w:val="000000" w:themeColor="text1"/>
          <w:sz w:val="32"/>
          <w:szCs w:val="32"/>
          <w:highlight w:val="none"/>
          <w:u w:val="none"/>
          <w14:textFill>
            <w14:solidFill>
              <w14:schemeClr w14:val="tx1"/>
            </w14:solidFill>
          </w14:textFill>
        </w:rPr>
        <w:t>数据要素</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挖掘</w:t>
      </w:r>
      <w:r>
        <w:rPr>
          <w:rFonts w:hint="eastAsia" w:ascii="Times New Roman" w:hAnsi="Times New Roman" w:eastAsia="仿宋_GB2312" w:cs="Times New Roman"/>
          <w:color w:val="000000" w:themeColor="text1"/>
          <w:sz w:val="32"/>
          <w:szCs w:val="32"/>
          <w:highlight w:val="none"/>
          <w:u w:val="none"/>
          <w14:textFill>
            <w14:solidFill>
              <w14:schemeClr w14:val="tx1"/>
            </w14:solidFill>
          </w14:textFill>
        </w:rPr>
        <w:t>、流通</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使用</w:t>
      </w:r>
      <w:r>
        <w:rPr>
          <w:rFonts w:hint="eastAsia" w:ascii="Times New Roman" w:hAnsi="Times New Roman" w:eastAsia="仿宋_GB2312" w:cs="Times New Roman"/>
          <w:color w:val="000000" w:themeColor="text1"/>
          <w:sz w:val="32"/>
          <w:szCs w:val="32"/>
          <w:highlight w:val="none"/>
          <w:u w:val="none"/>
          <w14:textFill>
            <w14:solidFill>
              <w14:schemeClr w14:val="tx1"/>
            </w14:solidFill>
          </w14:textFill>
        </w:rPr>
        <w:t>、安全</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防护</w:t>
      </w:r>
      <w:r>
        <w:rPr>
          <w:rFonts w:hint="eastAsia" w:ascii="Times New Roman" w:hAnsi="Times New Roman" w:eastAsia="仿宋_GB2312" w:cs="Times New Roman"/>
          <w:color w:val="000000" w:themeColor="text1"/>
          <w:sz w:val="32"/>
          <w:szCs w:val="32"/>
          <w:highlight w:val="none"/>
          <w:u w:val="none"/>
          <w14:textFill>
            <w14:solidFill>
              <w14:schemeClr w14:val="tx1"/>
            </w14:solidFill>
          </w14:textFill>
        </w:rPr>
        <w:t>等领域关键核心技术攻关，加快科技成果转化和应用落地。支持建设数据领域重点实验室、技术创新中心、企业技术中心等科技创新平台</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u w:val="none"/>
          <w14:textFill>
            <w14:solidFill>
              <w14:schemeClr w14:val="tx1"/>
            </w14:solidFill>
          </w14:textFill>
        </w:rPr>
        <w:t>引导数据企业加强自主技术创新，研发符合市场需求的数据处理工具、数据产品和技术服务，提升企业治数用数能力水平。</w:t>
      </w:r>
    </w:p>
    <w:p w14:paraId="6A2B1FA8">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（二十</w:t>
      </w:r>
      <w:r>
        <w:rPr>
          <w:rFonts w:hint="eastAsia"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一</w:t>
      </w:r>
      <w:r>
        <w:rPr>
          <w:rFonts w:ascii="Times New Roman" w:hAnsi="Times New Roman" w:eastAsia="楷体_GB2312" w:cs="Times New Roman"/>
          <w:color w:val="000000" w:themeColor="text1"/>
          <w:sz w:val="32"/>
          <w:szCs w:val="32"/>
          <w:highlight w:val="none"/>
          <w:u w:val="none"/>
          <w:lang w:val="en-US" w:eastAsia="zh-CN"/>
          <w14:textFill>
            <w14:solidFill>
              <w14:schemeClr w14:val="tx1"/>
            </w14:solidFill>
          </w14:textFill>
        </w:rPr>
        <w:t>）建强数字人才队伍。</w:t>
      </w:r>
      <w:r>
        <w:rPr>
          <w:rFonts w:hint="eastAsia" w:ascii="Times New Roman" w:hAnsi="Times New Roman" w:eastAsia="仿宋_GB2312" w:cs="Times New Roman"/>
          <w:color w:val="000000" w:themeColor="text1"/>
          <w:sz w:val="32"/>
          <w:szCs w:val="32"/>
          <w:highlight w:val="none"/>
          <w:u w:val="none"/>
          <w14:textFill>
            <w14:solidFill>
              <w14:schemeClr w14:val="tx1"/>
            </w14:solidFill>
          </w14:textFill>
        </w:rPr>
        <w:t>建设</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兵团</w:t>
      </w:r>
      <w:r>
        <w:rPr>
          <w:rFonts w:hint="eastAsia" w:ascii="Times New Roman" w:hAnsi="Times New Roman" w:eastAsia="仿宋_GB2312" w:cs="Times New Roman"/>
          <w:color w:val="000000" w:themeColor="text1"/>
          <w:sz w:val="32"/>
          <w:szCs w:val="32"/>
          <w:highlight w:val="none"/>
          <w:u w:val="none"/>
          <w14:textFill>
            <w14:solidFill>
              <w14:schemeClr w14:val="tx1"/>
            </w14:solidFill>
          </w14:textFill>
        </w:rPr>
        <w:t>数字人才库，加大高层次数字人才引育力度。</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引导和支持企业设立首席数据官岗位，</w:t>
      </w:r>
      <w:r>
        <w:rPr>
          <w:rFonts w:hint="eastAsia" w:ascii="Times New Roman" w:hAnsi="Times New Roman" w:eastAsia="仿宋_GB2312" w:cs="Times New Roman"/>
          <w:color w:val="000000" w:themeColor="text1"/>
          <w:sz w:val="32"/>
          <w:szCs w:val="32"/>
          <w:highlight w:val="none"/>
          <w:u w:val="none"/>
          <w14:textFill>
            <w14:solidFill>
              <w14:schemeClr w14:val="tx1"/>
            </w14:solidFill>
          </w14:textFill>
        </w:rPr>
        <w:t>实施企业骨干数字素养提升</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专项</w:t>
      </w:r>
      <w:r>
        <w:rPr>
          <w:rFonts w:hint="eastAsia" w:ascii="Times New Roman" w:hAnsi="Times New Roman" w:eastAsia="仿宋_GB2312" w:cs="Times New Roman"/>
          <w:color w:val="000000" w:themeColor="text1"/>
          <w:sz w:val="32"/>
          <w:szCs w:val="32"/>
          <w:highlight w:val="none"/>
          <w:u w:val="none"/>
          <w14:textFill>
            <w14:solidFill>
              <w14:schemeClr w14:val="tx1"/>
            </w14:solidFill>
          </w14:textFill>
        </w:rPr>
        <w:t>行动，举办数字技能类职业</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竞赛</w:t>
      </w:r>
      <w:r>
        <w:rPr>
          <w:rFonts w:hint="eastAsia" w:ascii="Times New Roman" w:hAnsi="Times New Roman" w:eastAsia="仿宋_GB2312" w:cs="Times New Roman"/>
          <w:color w:val="000000" w:themeColor="text1"/>
          <w:sz w:val="32"/>
          <w:szCs w:val="32"/>
          <w:highlight w:val="none"/>
          <w:u w:val="none"/>
          <w14:textFill>
            <w14:solidFill>
              <w14:schemeClr w14:val="tx1"/>
            </w14:solidFill>
          </w14:textFill>
        </w:rPr>
        <w:t>，健全数字人才职称评价体系。</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积极推动兵团高等院校开设数据要素相关学科专业，培育新兴交叉学科方向，打造数字人才培养高地。支持职业院校根据产业发展需要，研究增</w:t>
      </w:r>
      <w:bookmarkStart w:id="0" w:name="_GoBack"/>
      <w:bookmarkEnd w:id="0"/>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设数据采集清洗、数据标注、数据合规、数据运营等贴近市场需求的相关专业。</w:t>
      </w:r>
    </w:p>
    <w:p w14:paraId="6B5CC0BD">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outlineLvl w:val="0"/>
        <w:rPr>
          <w:rFonts w:ascii="Times New Roman" w:hAnsi="Times New Roman" w:eastAsia="黑体" w:cs="Times New Roman"/>
          <w:color w:val="000000" w:themeColor="text1"/>
          <w:sz w:val="32"/>
          <w:szCs w:val="32"/>
          <w:highlight w:val="none"/>
          <w:u w:val="none"/>
          <w14:textFill>
            <w14:solidFill>
              <w14:schemeClr w14:val="tx1"/>
            </w14:solidFill>
          </w14:textFill>
        </w:rPr>
      </w:pPr>
      <w:r>
        <w:rPr>
          <w:rFonts w:ascii="Times New Roman" w:hAnsi="Times New Roman" w:eastAsia="黑体" w:cs="Times New Roman"/>
          <w:color w:val="000000" w:themeColor="text1"/>
          <w:sz w:val="32"/>
          <w:szCs w:val="32"/>
          <w:highlight w:val="none"/>
          <w:u w:val="none"/>
          <w:lang w:eastAsia="zh-CN"/>
          <w14:textFill>
            <w14:solidFill>
              <w14:schemeClr w14:val="tx1"/>
            </w14:solidFill>
          </w14:textFill>
        </w:rPr>
        <w:t>七</w:t>
      </w:r>
      <w:r>
        <w:rPr>
          <w:rFonts w:ascii="Times New Roman" w:hAnsi="Times New Roman" w:eastAsia="黑体" w:cs="Times New Roman"/>
          <w:color w:val="000000" w:themeColor="text1"/>
          <w:sz w:val="32"/>
          <w:szCs w:val="32"/>
          <w:highlight w:val="none"/>
          <w:u w:val="none"/>
          <w14:textFill>
            <w14:solidFill>
              <w14:schemeClr w14:val="tx1"/>
            </w14:solidFill>
          </w14:textFill>
        </w:rPr>
        <w:t>、保障措施</w:t>
      </w:r>
    </w:p>
    <w:p w14:paraId="72B800FB">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color w:val="000000" w:themeColor="text1"/>
          <w:sz w:val="32"/>
          <w:szCs w:val="32"/>
          <w:highlight w:val="none"/>
          <w:u w:val="none"/>
          <w14:textFill>
            <w14:solidFill>
              <w14:schemeClr w14:val="tx1"/>
            </w14:solidFill>
          </w14:textFill>
        </w:rPr>
      </w:pPr>
      <w:r>
        <w:rPr>
          <w:rFonts w:ascii="Times New Roman" w:hAnsi="Times New Roman" w:eastAsia="仿宋_GB2312" w:cs="Times New Roman"/>
          <w:color w:val="000000" w:themeColor="text1"/>
          <w:sz w:val="32"/>
          <w:szCs w:val="32"/>
          <w:highlight w:val="none"/>
          <w:u w:val="none"/>
          <w14:textFill>
            <w14:solidFill>
              <w14:schemeClr w14:val="tx1"/>
            </w14:solidFill>
          </w14:textFill>
        </w:rPr>
        <w:t>充分发挥</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兵团</w:t>
      </w:r>
      <w:r>
        <w:rPr>
          <w:rFonts w:ascii="Times New Roman" w:hAnsi="Times New Roman" w:eastAsia="仿宋_GB2312" w:cs="Times New Roman"/>
          <w:color w:val="000000" w:themeColor="text1"/>
          <w:sz w:val="32"/>
          <w:szCs w:val="32"/>
          <w:highlight w:val="none"/>
          <w:u w:val="none"/>
          <w14:textFill>
            <w14:solidFill>
              <w14:schemeClr w14:val="tx1"/>
            </w14:solidFill>
          </w14:textFill>
        </w:rPr>
        <w:t>推进政府职能转变和数字政府建设领导小组的统筹推进作用</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u w:val="none"/>
          <w14:textFill>
            <w14:solidFill>
              <w14:schemeClr w14:val="tx1"/>
            </w14:solidFill>
          </w14:textFill>
        </w:rPr>
        <w:t>压实各</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部门</w:t>
      </w:r>
      <w:r>
        <w:rPr>
          <w:rFonts w:ascii="Times New Roman" w:hAnsi="Times New Roman" w:eastAsia="仿宋_GB2312" w:cs="Times New Roman"/>
          <w:color w:val="000000" w:themeColor="text1"/>
          <w:sz w:val="32"/>
          <w:szCs w:val="32"/>
          <w:highlight w:val="none"/>
          <w:u w:val="none"/>
          <w14:textFill>
            <w14:solidFill>
              <w14:schemeClr w14:val="tx1"/>
            </w14:solidFill>
          </w14:textFill>
        </w:rPr>
        <w:t>工作责任。</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统筹</w:t>
      </w:r>
      <w:r>
        <w:rPr>
          <w:rFonts w:ascii="Times New Roman" w:hAnsi="Times New Roman" w:eastAsia="仿宋_GB2312" w:cs="Times New Roman"/>
          <w:color w:val="000000" w:themeColor="text1"/>
          <w:sz w:val="32"/>
          <w:szCs w:val="32"/>
          <w:highlight w:val="none"/>
          <w:u w:val="none"/>
          <w14:textFill>
            <w14:solidFill>
              <w14:schemeClr w14:val="tx1"/>
            </w14:solidFill>
          </w14:textFill>
        </w:rPr>
        <w:t>推进</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兵团</w:t>
      </w:r>
      <w:r>
        <w:rPr>
          <w:rFonts w:ascii="Times New Roman" w:hAnsi="Times New Roman" w:eastAsia="仿宋_GB2312" w:cs="Times New Roman"/>
          <w:color w:val="000000" w:themeColor="text1"/>
          <w:sz w:val="32"/>
          <w:szCs w:val="32"/>
          <w:highlight w:val="none"/>
          <w:u w:val="none"/>
          <w14:textFill>
            <w14:solidFill>
              <w14:schemeClr w14:val="tx1"/>
            </w14:solidFill>
          </w14:textFill>
        </w:rPr>
        <w:t>数据市场建设</w:t>
      </w:r>
      <w:r>
        <w:rPr>
          <w:rFonts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促进集约化建设</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强化项目谋划与储备，建立“一地创新、全兵团复用”机制</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统筹用好各类资金渠道对数据要素示范工程、产业发展、场景创建、设施布局、技术创新等方面予以支持。积极贯彻数据领域的国家标准、行业标准，加快推进数据开发利用标准化。加强宣传引导，营造数据要素市场浓厚氛围。</w:t>
      </w:r>
    </w:p>
    <w:p w14:paraId="0A8C4F48">
      <w:pPr>
        <w:keepNext w:val="0"/>
        <w:keepLines w:val="0"/>
        <w:pageBreakBefore w:val="0"/>
        <w:widowControl w:val="0"/>
        <w:kinsoku/>
        <w:wordWrap/>
        <w:overflowPunct w:val="0"/>
        <w:topLinePunct w:val="0"/>
        <w:autoSpaceDE/>
        <w:autoSpaceDN/>
        <w:bidi w:val="0"/>
        <w:adjustRightInd w:val="0"/>
        <w:snapToGrid w:val="0"/>
        <w:spacing w:line="560" w:lineRule="exact"/>
        <w:ind w:firstLine="0"/>
        <w:jc w:val="both"/>
        <w:textAlignment w:val="auto"/>
        <w:rPr>
          <w:rFonts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Arial"/>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B9576">
    <w:pPr>
      <w:pStyle w:val="6"/>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720725" cy="346710"/>
              <wp:effectExtent l="0" t="0" r="0" b="0"/>
              <wp:wrapNone/>
              <wp:docPr id="1" name="文本框 5"/>
              <wp:cNvGraphicFramePr/>
              <a:graphic xmlns:a="http://schemas.openxmlformats.org/drawingml/2006/main">
                <a:graphicData uri="http://schemas.microsoft.com/office/word/2010/wordprocessingShape">
                  <wps:wsp>
                    <wps:cNvSpPr/>
                    <wps:spPr>
                      <a:xfrm>
                        <a:off x="0" y="0"/>
                        <a:ext cx="720724" cy="346710"/>
                      </a:xfrm>
                      <a:prstGeom prst="rect">
                        <a:avLst/>
                      </a:prstGeom>
                      <a:noFill/>
                      <a:ln w="9525" cap="flat" cmpd="sng">
                        <a:noFill/>
                        <a:prstDash val="solid"/>
                        <a:round/>
                      </a:ln>
                    </wps:spPr>
                    <wps:txbx>
                      <w:txbxContent>
                        <w:p w14:paraId="4B400CA4">
                          <w:pPr>
                            <w:pStyle w:val="6"/>
                            <w:rPr>
                              <w:rFonts w:hint="eastAsia"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- 10 -</w:t>
                          </w:r>
                          <w:r>
                            <w:rPr>
                              <w:rFonts w:hint="eastAsia" w:ascii="宋体" w:eastAsia="宋体" w:cs="宋体"/>
                              <w:sz w:val="28"/>
                              <w:szCs w:val="28"/>
                            </w:rPr>
                            <w:fldChar w:fldCharType="end"/>
                          </w:r>
                        </w:p>
                      </w:txbxContent>
                    </wps:txbx>
                    <wps:bodyPr vert="horz" wrap="square" lIns="0" tIns="0" rIns="0" bIns="0" anchor="t" anchorCtr="0" upright="0">
                      <a:noAutofit/>
                    </wps:bodyPr>
                  </wps:wsp>
                </a:graphicData>
              </a:graphic>
            </wp:anchor>
          </w:drawing>
        </mc:Choice>
        <mc:Fallback>
          <w:pict>
            <v:rect id="文本框 5" o:spid="_x0000_s1026" o:spt="1" style="position:absolute;left:0pt;margin-top:0pt;height:27.3pt;width:56.75pt;mso-position-horizontal:outside;mso-position-horizontal-relative:margin;z-index:251659264;mso-width-relative:page;mso-height-relative:page;" filled="f" stroked="f" coordsize="21600,21600" o:gfxdata="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06XK11gAAAAQBAAAPAAAAAAAAAAEAIAAAACIAAABkcnMv&#10;ZG93bnJldi54bWxQSwECFAAUAAAACACHTuJAy4UjyQUCAAD2AwAADgAAAAAAAAABACAAAAAlAQAA&#10;ZHJzL2Uyb0RvYy54bWxQSwUGAAAAAAYABgBZAQAAnAUAAAAA&#10;">
              <v:fill on="f" focussize="0,0"/>
              <v:stroke on="f" joinstyle="round"/>
              <v:imagedata o:title=""/>
              <o:lock v:ext="edit" aspectratio="f"/>
              <v:textbox inset="0mm,0mm,0mm,0mm">
                <w:txbxContent>
                  <w:p w14:paraId="4B400CA4">
                    <w:pPr>
                      <w:pStyle w:val="6"/>
                      <w:rPr>
                        <w:rFonts w:hint="eastAsia"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- 10 -</w:t>
                    </w:r>
                    <w:r>
                      <w:rPr>
                        <w:rFonts w:hint="eastAsia" w:ascii="宋体" w:eastAsia="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dit="readOnly"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Tc5YzUxYjI5MDc5N2E1NDQ2YmY2NzFjNTUwNjcyOWUifQ=="/>
  </w:docVars>
  <w:rsids>
    <w:rsidRoot w:val="00000000"/>
    <w:rsid w:val="023D6112"/>
    <w:rsid w:val="0923652F"/>
    <w:rsid w:val="0BF969B2"/>
    <w:rsid w:val="0CEB0BB2"/>
    <w:rsid w:val="0D0A63B0"/>
    <w:rsid w:val="0DEE2680"/>
    <w:rsid w:val="115E3A90"/>
    <w:rsid w:val="11B65AD4"/>
    <w:rsid w:val="123EFD1C"/>
    <w:rsid w:val="13DD293C"/>
    <w:rsid w:val="157DFD4E"/>
    <w:rsid w:val="1A574CAB"/>
    <w:rsid w:val="1A817976"/>
    <w:rsid w:val="1A965392"/>
    <w:rsid w:val="1AD5150D"/>
    <w:rsid w:val="1BCF6267"/>
    <w:rsid w:val="1BDDF42B"/>
    <w:rsid w:val="1EFF8EFC"/>
    <w:rsid w:val="1F6F5486"/>
    <w:rsid w:val="1FCA38EE"/>
    <w:rsid w:val="1FCE2EA9"/>
    <w:rsid w:val="1FFB3991"/>
    <w:rsid w:val="1FFE830B"/>
    <w:rsid w:val="23935AF9"/>
    <w:rsid w:val="26C77F14"/>
    <w:rsid w:val="26FE86A6"/>
    <w:rsid w:val="279FA6BA"/>
    <w:rsid w:val="27AB958B"/>
    <w:rsid w:val="2CB5172A"/>
    <w:rsid w:val="2DF66AE8"/>
    <w:rsid w:val="2EFF32C6"/>
    <w:rsid w:val="2F6B7930"/>
    <w:rsid w:val="2FDEF5AE"/>
    <w:rsid w:val="2FF569C7"/>
    <w:rsid w:val="2FF75235"/>
    <w:rsid w:val="2FFDBBD3"/>
    <w:rsid w:val="346C6050"/>
    <w:rsid w:val="36BFCECB"/>
    <w:rsid w:val="36C9F959"/>
    <w:rsid w:val="37EF6983"/>
    <w:rsid w:val="37FEA484"/>
    <w:rsid w:val="3975BAD8"/>
    <w:rsid w:val="3ADFE47F"/>
    <w:rsid w:val="3BA52A32"/>
    <w:rsid w:val="3BFBF0F9"/>
    <w:rsid w:val="3BFE5070"/>
    <w:rsid w:val="3BFFD8DB"/>
    <w:rsid w:val="3DFDA608"/>
    <w:rsid w:val="3EEAA8DC"/>
    <w:rsid w:val="3F537B04"/>
    <w:rsid w:val="3F798335"/>
    <w:rsid w:val="3FBF9A0D"/>
    <w:rsid w:val="3FDF302E"/>
    <w:rsid w:val="3FDF4D4E"/>
    <w:rsid w:val="3FF736F5"/>
    <w:rsid w:val="3FF7764E"/>
    <w:rsid w:val="3FFF3408"/>
    <w:rsid w:val="422D4370"/>
    <w:rsid w:val="46DF3E0F"/>
    <w:rsid w:val="488538EC"/>
    <w:rsid w:val="4B6E1C35"/>
    <w:rsid w:val="4C1DDC47"/>
    <w:rsid w:val="4C365346"/>
    <w:rsid w:val="4DB78843"/>
    <w:rsid w:val="4DDF34BB"/>
    <w:rsid w:val="4EF63225"/>
    <w:rsid w:val="4F7F3DE4"/>
    <w:rsid w:val="4FF56EFA"/>
    <w:rsid w:val="51CDF790"/>
    <w:rsid w:val="521D6D1B"/>
    <w:rsid w:val="5299FD89"/>
    <w:rsid w:val="53D6B5DB"/>
    <w:rsid w:val="56B71481"/>
    <w:rsid w:val="56EFA098"/>
    <w:rsid w:val="571F6758"/>
    <w:rsid w:val="57FD9D8B"/>
    <w:rsid w:val="595FEFD9"/>
    <w:rsid w:val="59FF0333"/>
    <w:rsid w:val="5A6FAE3A"/>
    <w:rsid w:val="5AFBA37D"/>
    <w:rsid w:val="5B5FDA88"/>
    <w:rsid w:val="5B7FE0E5"/>
    <w:rsid w:val="5BFD2D62"/>
    <w:rsid w:val="5D7707A2"/>
    <w:rsid w:val="5DEFFEF1"/>
    <w:rsid w:val="5DFF02C7"/>
    <w:rsid w:val="5E7FC71A"/>
    <w:rsid w:val="5EB6A241"/>
    <w:rsid w:val="5F5EA201"/>
    <w:rsid w:val="5FAD64E4"/>
    <w:rsid w:val="5FC7792A"/>
    <w:rsid w:val="5FEE40AD"/>
    <w:rsid w:val="5FFFE42D"/>
    <w:rsid w:val="63E77070"/>
    <w:rsid w:val="63FD3116"/>
    <w:rsid w:val="647EFB22"/>
    <w:rsid w:val="65023FEA"/>
    <w:rsid w:val="66735785"/>
    <w:rsid w:val="675E7DE2"/>
    <w:rsid w:val="67DBBB4E"/>
    <w:rsid w:val="68FC194C"/>
    <w:rsid w:val="693B2CF3"/>
    <w:rsid w:val="6AFAE6F5"/>
    <w:rsid w:val="6AFB1F37"/>
    <w:rsid w:val="6AFE8032"/>
    <w:rsid w:val="6CB5C550"/>
    <w:rsid w:val="6DFAEE5B"/>
    <w:rsid w:val="6DFBA183"/>
    <w:rsid w:val="6DFBE592"/>
    <w:rsid w:val="6E7E4998"/>
    <w:rsid w:val="6EDB4422"/>
    <w:rsid w:val="6EDDEB7E"/>
    <w:rsid w:val="6EEF7BB2"/>
    <w:rsid w:val="6FDD3AFC"/>
    <w:rsid w:val="6FED4E95"/>
    <w:rsid w:val="726FF8AB"/>
    <w:rsid w:val="72A442D6"/>
    <w:rsid w:val="73FF287E"/>
    <w:rsid w:val="74B60BDD"/>
    <w:rsid w:val="74FF8430"/>
    <w:rsid w:val="75CF6EA3"/>
    <w:rsid w:val="75F5AD5C"/>
    <w:rsid w:val="75FD812C"/>
    <w:rsid w:val="760D1691"/>
    <w:rsid w:val="767757D6"/>
    <w:rsid w:val="76AFD096"/>
    <w:rsid w:val="76D6C56C"/>
    <w:rsid w:val="76FFADD5"/>
    <w:rsid w:val="773F4785"/>
    <w:rsid w:val="776FF07E"/>
    <w:rsid w:val="777F2842"/>
    <w:rsid w:val="777F83A6"/>
    <w:rsid w:val="77DB971D"/>
    <w:rsid w:val="797FEA91"/>
    <w:rsid w:val="79EEBA6B"/>
    <w:rsid w:val="79FD2E0A"/>
    <w:rsid w:val="7A316186"/>
    <w:rsid w:val="7A5A0C4C"/>
    <w:rsid w:val="7ABD5D7B"/>
    <w:rsid w:val="7B0146EF"/>
    <w:rsid w:val="7B59F3C8"/>
    <w:rsid w:val="7B7EA8CF"/>
    <w:rsid w:val="7B8AF51B"/>
    <w:rsid w:val="7B9C2116"/>
    <w:rsid w:val="7BBC83E2"/>
    <w:rsid w:val="7BDD5678"/>
    <w:rsid w:val="7BF78F1A"/>
    <w:rsid w:val="7BFAF97C"/>
    <w:rsid w:val="7BFB1088"/>
    <w:rsid w:val="7D57EE05"/>
    <w:rsid w:val="7D5E7355"/>
    <w:rsid w:val="7D6DDB41"/>
    <w:rsid w:val="7D8FD530"/>
    <w:rsid w:val="7DBB43E7"/>
    <w:rsid w:val="7DBBAF63"/>
    <w:rsid w:val="7DC78FD5"/>
    <w:rsid w:val="7DDDC51F"/>
    <w:rsid w:val="7DE9F26E"/>
    <w:rsid w:val="7DF56FBB"/>
    <w:rsid w:val="7DF606AB"/>
    <w:rsid w:val="7DFF7BDA"/>
    <w:rsid w:val="7EB7E5ED"/>
    <w:rsid w:val="7ED83EC5"/>
    <w:rsid w:val="7EFF66C8"/>
    <w:rsid w:val="7F3F2F4E"/>
    <w:rsid w:val="7F4F5444"/>
    <w:rsid w:val="7F5CCF0D"/>
    <w:rsid w:val="7F5FFFAE"/>
    <w:rsid w:val="7F7B8E82"/>
    <w:rsid w:val="7F7F291E"/>
    <w:rsid w:val="7F7FAB6C"/>
    <w:rsid w:val="7F7FD853"/>
    <w:rsid w:val="7F97AEC1"/>
    <w:rsid w:val="7F9FE6EF"/>
    <w:rsid w:val="7FAAEF91"/>
    <w:rsid w:val="7FB976EA"/>
    <w:rsid w:val="7FBFB4E8"/>
    <w:rsid w:val="7FBFC971"/>
    <w:rsid w:val="7FCD3745"/>
    <w:rsid w:val="7FD3FB96"/>
    <w:rsid w:val="7FDDAB00"/>
    <w:rsid w:val="7FDF671F"/>
    <w:rsid w:val="7FE4560D"/>
    <w:rsid w:val="7FE59C5E"/>
    <w:rsid w:val="7FEF0C5A"/>
    <w:rsid w:val="7FEFBD06"/>
    <w:rsid w:val="7FFA1A7D"/>
    <w:rsid w:val="7FFB33CF"/>
    <w:rsid w:val="7FFF1648"/>
    <w:rsid w:val="7FFF2DFC"/>
    <w:rsid w:val="7FFF2F3A"/>
    <w:rsid w:val="7FFFEE72"/>
    <w:rsid w:val="83FF3B5D"/>
    <w:rsid w:val="9BDEEA61"/>
    <w:rsid w:val="9E99BEE4"/>
    <w:rsid w:val="9F1D1097"/>
    <w:rsid w:val="9FAD22CE"/>
    <w:rsid w:val="9FEFA60A"/>
    <w:rsid w:val="A0EB5802"/>
    <w:rsid w:val="A5BBCBC9"/>
    <w:rsid w:val="AAFD380A"/>
    <w:rsid w:val="AB0E55F6"/>
    <w:rsid w:val="ACAF21D4"/>
    <w:rsid w:val="AD3DBAFB"/>
    <w:rsid w:val="AEAED118"/>
    <w:rsid w:val="AF7F78CB"/>
    <w:rsid w:val="B3FB6468"/>
    <w:rsid w:val="B7F6A767"/>
    <w:rsid w:val="B97B0C4D"/>
    <w:rsid w:val="B9FF96E9"/>
    <w:rsid w:val="B9FFBFE5"/>
    <w:rsid w:val="BAE6041F"/>
    <w:rsid w:val="BAFBF24C"/>
    <w:rsid w:val="BBD378A9"/>
    <w:rsid w:val="BBFB61AD"/>
    <w:rsid w:val="BCF13CD4"/>
    <w:rsid w:val="BDC72391"/>
    <w:rsid w:val="BE354841"/>
    <w:rsid w:val="BE9F936C"/>
    <w:rsid w:val="BEEDA0D6"/>
    <w:rsid w:val="BEFDD134"/>
    <w:rsid w:val="BFFFF5A9"/>
    <w:rsid w:val="C3FF5669"/>
    <w:rsid w:val="C9BBB565"/>
    <w:rsid w:val="CD5B12D7"/>
    <w:rsid w:val="CF35C809"/>
    <w:rsid w:val="CF9F7CDB"/>
    <w:rsid w:val="CFEFC64F"/>
    <w:rsid w:val="D7F65FED"/>
    <w:rsid w:val="D7F9945B"/>
    <w:rsid w:val="D7FEAB40"/>
    <w:rsid w:val="D9CE7725"/>
    <w:rsid w:val="D9F76064"/>
    <w:rsid w:val="DADBE129"/>
    <w:rsid w:val="DAFEF371"/>
    <w:rsid w:val="DB5B1C0B"/>
    <w:rsid w:val="DBA780D0"/>
    <w:rsid w:val="DBF2FEA1"/>
    <w:rsid w:val="DC3F698E"/>
    <w:rsid w:val="DE5B09EE"/>
    <w:rsid w:val="DFCE2FE2"/>
    <w:rsid w:val="DFD9C901"/>
    <w:rsid w:val="DFFBFFC9"/>
    <w:rsid w:val="DFFFDF6D"/>
    <w:rsid w:val="E3FA1027"/>
    <w:rsid w:val="E5FDD000"/>
    <w:rsid w:val="E63FBB01"/>
    <w:rsid w:val="E9EFF125"/>
    <w:rsid w:val="EA667E7C"/>
    <w:rsid w:val="EAEFDB26"/>
    <w:rsid w:val="EB5DA31E"/>
    <w:rsid w:val="EB7607DD"/>
    <w:rsid w:val="EB7D351A"/>
    <w:rsid w:val="ECBBC9E3"/>
    <w:rsid w:val="EDBE9B53"/>
    <w:rsid w:val="EDFF2E74"/>
    <w:rsid w:val="EE6ED8D8"/>
    <w:rsid w:val="EE73E77D"/>
    <w:rsid w:val="EF3D376F"/>
    <w:rsid w:val="EF70FD9C"/>
    <w:rsid w:val="EFBC9D55"/>
    <w:rsid w:val="EFF32250"/>
    <w:rsid w:val="EFFB8B8F"/>
    <w:rsid w:val="EFFF6E0C"/>
    <w:rsid w:val="F1F1D1F4"/>
    <w:rsid w:val="F1FB64A4"/>
    <w:rsid w:val="F1FE4E81"/>
    <w:rsid w:val="F3DF5240"/>
    <w:rsid w:val="F3E528C9"/>
    <w:rsid w:val="F57BBF8A"/>
    <w:rsid w:val="F65EE68C"/>
    <w:rsid w:val="F686B672"/>
    <w:rsid w:val="F79783AE"/>
    <w:rsid w:val="F7AAF634"/>
    <w:rsid w:val="F7BD3D43"/>
    <w:rsid w:val="F7F96005"/>
    <w:rsid w:val="F7FB32F4"/>
    <w:rsid w:val="F8BD767B"/>
    <w:rsid w:val="F9EFCCA4"/>
    <w:rsid w:val="F9EFD7C8"/>
    <w:rsid w:val="F9FA605F"/>
    <w:rsid w:val="FAEE80B5"/>
    <w:rsid w:val="FB3FAF5F"/>
    <w:rsid w:val="FB7F26C8"/>
    <w:rsid w:val="FB97D62C"/>
    <w:rsid w:val="FBE5CBD9"/>
    <w:rsid w:val="FBFA3616"/>
    <w:rsid w:val="FBFF38C5"/>
    <w:rsid w:val="FCC5760D"/>
    <w:rsid w:val="FCF84726"/>
    <w:rsid w:val="FD2F5BE2"/>
    <w:rsid w:val="FDAB6639"/>
    <w:rsid w:val="FDBA3731"/>
    <w:rsid w:val="FDBB0C52"/>
    <w:rsid w:val="FDEC0419"/>
    <w:rsid w:val="FDFD026D"/>
    <w:rsid w:val="FDFE52F0"/>
    <w:rsid w:val="FDFF0AC9"/>
    <w:rsid w:val="FE5E6A17"/>
    <w:rsid w:val="FEADBCBE"/>
    <w:rsid w:val="FEB5A46B"/>
    <w:rsid w:val="FEF30136"/>
    <w:rsid w:val="FEFDDBB1"/>
    <w:rsid w:val="FEFF67C8"/>
    <w:rsid w:val="FF3B3336"/>
    <w:rsid w:val="FF3B7AE5"/>
    <w:rsid w:val="FF3DEAD4"/>
    <w:rsid w:val="FF3F2CCB"/>
    <w:rsid w:val="FF5F7F58"/>
    <w:rsid w:val="FFBB35B9"/>
    <w:rsid w:val="FFBB9738"/>
    <w:rsid w:val="FFC51FC2"/>
    <w:rsid w:val="FFCFD370"/>
    <w:rsid w:val="FFD72E96"/>
    <w:rsid w:val="FFDCBEC0"/>
    <w:rsid w:val="FFDE829B"/>
    <w:rsid w:val="FFDEFD43"/>
    <w:rsid w:val="FFF08FCD"/>
    <w:rsid w:val="FFFAB726"/>
    <w:rsid w:val="FFFC21FC"/>
    <w:rsid w:val="FFFC75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Pages>
  <Words>5100</Words>
  <Characters>5115</Characters>
  <Lines>758</Lines>
  <Paragraphs>168</Paragraphs>
  <TotalTime>29</TotalTime>
  <ScaleCrop>false</ScaleCrop>
  <LinksUpToDate>false</LinksUpToDate>
  <CharactersWithSpaces>5117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2025-11-02T08:51:00Z</dcterms:created>
  <dc:creator>user</dc:creator>
  <cp:lastModifiedBy>Lenovo</cp:lastModifiedBy>
  <cp:lastPrinted>2025-12-09T07:32:39Z</cp:lastPrinted>
  <dcterms:modified xsi:type="dcterms:W3CDTF">2025-12-09T07:32:53Z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FB9B2EF89FB84366A6C611FC7F3B8FDA_13</vt:lpwstr>
  </property>
  <property fmtid="{D5CDD505-2E9C-101B-9397-08002B2CF9AE}" pid="4" name="KSOTemplateDocerSaveRecord">
    <vt:lpwstr>eyJoZGlkIjoiOGMzMDljMDdlNjY1MDYxYjEzN2U1ZmY2NDBlMzliOTUiLCJ1c2VySWQiOiI1NzY1NjkwNzMifQ==</vt:lpwstr>
  </property>
</Properties>
</file>