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4815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8" w:lineRule="exact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4203"/>
      <w:bookmarkStart w:id="1" w:name="_Toc28170"/>
      <w:bookmarkStart w:id="2" w:name="_Toc13031"/>
      <w:r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  <w:lang w:val="en-US" w:eastAsia="zh-CN"/>
        </w:rPr>
        <w:t>GF-2025-261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2"/>
          <w:szCs w:val="32"/>
          <w:lang w:val="en-US" w:eastAsia="zh-CN"/>
        </w:rPr>
        <w:t>8</w:t>
      </w:r>
    </w:p>
    <w:p w14:paraId="144A014C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jc w:val="left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</w:pPr>
    </w:p>
    <w:p w14:paraId="2E97A1CB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</w:rPr>
      </w:pPr>
    </w:p>
    <w:p w14:paraId="1105B94D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</w:p>
    <w:p w14:paraId="0790F55E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</w:p>
    <w:p w14:paraId="7019EB69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</w:p>
    <w:p w14:paraId="7FACF862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</w:p>
    <w:p w14:paraId="1F0AB10B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0"/>
          <w:szCs w:val="36"/>
        </w:rPr>
      </w:pPr>
      <w:bookmarkStart w:id="3" w:name="_Toc1568"/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36"/>
        </w:rPr>
        <w:t>数据中介</w:t>
      </w:r>
      <w:r>
        <w:rPr>
          <w:rFonts w:hint="eastAsia" w:ascii="Times New Roman" w:hAnsi="Times New Roman" w:eastAsia="方正小标宋_GBK" w:cs="Times New Roman"/>
          <w:b w:val="0"/>
          <w:bCs w:val="0"/>
          <w:sz w:val="40"/>
          <w:szCs w:val="36"/>
          <w:lang w:val="en-US" w:eastAsia="zh-CN"/>
        </w:rPr>
        <w:t>服务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36"/>
        </w:rPr>
        <w:t>合同</w:t>
      </w:r>
      <w:bookmarkStart w:id="4" w:name="_Toc1089793655"/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36"/>
        </w:rPr>
        <w:t>（示范文本）</w:t>
      </w:r>
      <w:bookmarkEnd w:id="0"/>
      <w:bookmarkEnd w:id="1"/>
      <w:bookmarkEnd w:id="2"/>
      <w:bookmarkEnd w:id="3"/>
    </w:p>
    <w:p w14:paraId="7B126ADA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0"/>
          <w:szCs w:val="36"/>
        </w:rPr>
      </w:pPr>
    </w:p>
    <w:bookmarkEnd w:id="4"/>
    <w:p w14:paraId="7B29F7FF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jc w:val="center"/>
        <w:rPr>
          <w:rFonts w:hint="default" w:ascii="Times New Roman" w:hAnsi="Times New Roman" w:eastAsia="方正楷体_GBK" w:cs="Times New Roman"/>
          <w:b w:val="0"/>
          <w:bCs w:val="0"/>
          <w:szCs w:val="30"/>
        </w:rPr>
      </w:pPr>
    </w:p>
    <w:p w14:paraId="4119D226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</w:rPr>
      </w:pPr>
    </w:p>
    <w:p w14:paraId="75F80E6D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</w:rPr>
      </w:pPr>
    </w:p>
    <w:p w14:paraId="6641E9A2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</w:rPr>
      </w:pPr>
    </w:p>
    <w:p w14:paraId="7CAE28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8" w:lineRule="exact"/>
        <w:ind w:firstLine="2328" w:firstLineChars="600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34"/>
          <w:sz w:val="32"/>
          <w:lang w:eastAsia="zh-CN"/>
        </w:rPr>
        <w:t>国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34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34"/>
          <w:sz w:val="32"/>
          <w:lang w:eastAsia="zh-CN"/>
        </w:rPr>
        <w:t>家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34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34"/>
          <w:sz w:val="32"/>
          <w:lang w:eastAsia="zh-CN"/>
        </w:rPr>
        <w:t>数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34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34"/>
          <w:sz w:val="32"/>
          <w:lang w:eastAsia="zh-CN"/>
        </w:rPr>
        <w:t>据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34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34"/>
          <w:sz w:val="32"/>
          <w:lang w:eastAsia="zh-CN"/>
        </w:rPr>
        <w:t>局</w:t>
      </w:r>
    </w:p>
    <w:p w14:paraId="3861B1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8" w:lineRule="exact"/>
        <w:ind w:firstLine="5760" w:firstLineChars="1800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lang w:eastAsia="zh-CN"/>
        </w:rPr>
        <w:t>　制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lang w:eastAsia="zh-CN"/>
        </w:rPr>
        <w:t>定</w:t>
      </w:r>
    </w:p>
    <w:p w14:paraId="37EA5DB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8" w:lineRule="exact"/>
        <w:ind w:firstLine="2324" w:firstLineChars="700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6"/>
          <w:sz w:val="32"/>
          <w:lang w:eastAsia="zh-CN"/>
        </w:rPr>
        <w:t>市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6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6"/>
          <w:sz w:val="32"/>
          <w:lang w:eastAsia="zh-CN"/>
        </w:rPr>
        <w:t>场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6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6"/>
          <w:sz w:val="32"/>
          <w:lang w:eastAsia="zh-CN"/>
        </w:rPr>
        <w:t>监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6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6"/>
          <w:sz w:val="32"/>
          <w:lang w:eastAsia="zh-CN"/>
        </w:rPr>
        <w:t>管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6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6"/>
          <w:sz w:val="32"/>
          <w:lang w:eastAsia="zh-CN"/>
        </w:rPr>
        <w:t>总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6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6"/>
          <w:sz w:val="32"/>
          <w:lang w:eastAsia="zh-CN"/>
        </w:rPr>
        <w:t>局</w:t>
      </w:r>
    </w:p>
    <w:p w14:paraId="55E47FEA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</w:rPr>
      </w:pPr>
    </w:p>
    <w:p w14:paraId="4DA2030C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</w:rPr>
      </w:pPr>
    </w:p>
    <w:p w14:paraId="30BA04C1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</w:rPr>
      </w:pPr>
    </w:p>
    <w:p w14:paraId="04D18C7A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jc w:val="center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</w:t>
      </w:r>
    </w:p>
    <w:p w14:paraId="32C63542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jc w:val="center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二〇二五年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月</w:t>
      </w:r>
    </w:p>
    <w:p w14:paraId="26DB7E4C">
      <w:pPr>
        <w:pStyle w:val="2"/>
        <w:pageBreakBefore w:val="0"/>
        <w:wordWrap/>
        <w:overflowPunct/>
        <w:topLinePunct w:val="0"/>
        <w:bidi w:val="0"/>
        <w:adjustRightInd/>
        <w:spacing w:line="588" w:lineRule="exact"/>
        <w:outlineLvl w:val="9"/>
        <w:rPr>
          <w:rFonts w:hint="default" w:ascii="Times New Roman" w:hAnsi="Times New Roman" w:cs="Times New Roman"/>
          <w:b w:val="0"/>
          <w:bCs w:val="0"/>
        </w:rPr>
        <w:sectPr>
          <w:headerReference r:id="rId5" w:type="default"/>
          <w:footerReference r:id="rId6" w:type="default"/>
          <w:pgSz w:w="11906" w:h="16838"/>
          <w:pgMar w:top="1984" w:right="1616" w:bottom="1814" w:left="1616" w:header="851" w:footer="1474" w:gutter="0"/>
          <w:pgNumType w:fmt="decimal" w:start="58"/>
          <w:cols w:space="425" w:num="1"/>
          <w:docGrid w:type="lines" w:linePitch="312" w:charSpace="0"/>
        </w:sectPr>
      </w:pPr>
    </w:p>
    <w:p w14:paraId="2B8C890E">
      <w:pPr>
        <w:pStyle w:val="2"/>
        <w:pageBreakBefore w:val="0"/>
        <w:wordWrap/>
        <w:overflowPunct/>
        <w:topLinePunct w:val="0"/>
        <w:bidi w:val="0"/>
        <w:adjustRightInd/>
        <w:spacing w:line="588" w:lineRule="exact"/>
        <w:outlineLvl w:val="9"/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kern w:val="44"/>
          <w:sz w:val="40"/>
          <w:szCs w:val="40"/>
          <w:lang w:val="en-US" w:eastAsia="zh-CN"/>
        </w:rPr>
        <w:t>使 用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  <w:bookmarkStart w:id="5" w:name="_Toc6822"/>
      <w:bookmarkStart w:id="6" w:name="_Toc19000"/>
      <w:bookmarkStart w:id="7" w:name="_Toc27336"/>
      <w:bookmarkStart w:id="8" w:name="_Toc31184"/>
      <w:bookmarkStart w:id="9" w:name="_Toc32719"/>
      <w:bookmarkStart w:id="10" w:name="_Toc5240"/>
      <w:bookmarkStart w:id="11" w:name="_Toc19483"/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</w:rPr>
        <w:t>说 明</w:t>
      </w:r>
      <w:bookmarkEnd w:id="5"/>
      <w:bookmarkEnd w:id="6"/>
      <w:bookmarkEnd w:id="7"/>
      <w:bookmarkEnd w:id="8"/>
      <w:bookmarkEnd w:id="9"/>
      <w:bookmarkEnd w:id="10"/>
      <w:bookmarkEnd w:id="11"/>
    </w:p>
    <w:p w14:paraId="3BD6039F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</w:p>
    <w:p w14:paraId="4D7CB2E5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依</w:t>
      </w:r>
      <w:r>
        <w:rPr>
          <w:rFonts w:hint="default" w:ascii="Times New Roman" w:hAnsi="Times New Roman" w:cs="Times New Roman"/>
          <w:b w:val="0"/>
          <w:bCs w:val="0"/>
        </w:rPr>
        <w:t>据《中华人民共和国民法典》《中华人民共和国数据安全法》《中华人民共和国个人信息保护法》《中华人民共和国网络安全法》《网络数据安全管理条例》以及相关法律法规，为维护合同当事人的合法权益，推动数据共享共用，促进数据有序流动，便于合同当事人使用，现就有关问题说明如下：</w:t>
      </w:r>
    </w:p>
    <w:p w14:paraId="64C1D1D9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 w:val="0"/>
          <w:bCs w:val="0"/>
        </w:rPr>
        <w:t>、</w:t>
      </w:r>
      <w:r>
        <w:rPr>
          <w:rFonts w:hint="default" w:ascii="Times New Roman" w:hAnsi="Times New Roman" w:cs="Times New Roman"/>
          <w:b w:val="0"/>
          <w:bCs w:val="0"/>
          <w:sz w:val="30"/>
          <w:szCs w:val="24"/>
          <w:lang w:eastAsia="zh-CN"/>
        </w:rPr>
        <w:t>本合</w:t>
      </w: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eastAsia="zh-CN"/>
        </w:rPr>
        <w:t>同文本</w:t>
      </w:r>
      <w:r>
        <w:rPr>
          <w:rFonts w:hint="default" w:ascii="Times New Roman" w:hAnsi="Times New Roman" w:cs="Times New Roman"/>
          <w:b w:val="0"/>
          <w:bCs w:val="0"/>
        </w:rPr>
        <w:t>为推荐性使用的合同范本</w:t>
      </w:r>
      <w:r>
        <w:rPr>
          <w:rFonts w:hint="eastAsia" w:ascii="Times New Roman" w:hAnsi="Times New Roman" w:cs="方正小标宋简体"/>
          <w:b w:val="0"/>
          <w:bCs w:val="0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cs="方正小标宋简体"/>
          <w:b w:val="0"/>
          <w:bCs w:val="0"/>
          <w:color w:val="auto"/>
          <w:sz w:val="30"/>
          <w:szCs w:val="30"/>
          <w:lang w:val="en-US" w:eastAsia="zh-CN"/>
        </w:rPr>
        <w:t>仅供数据委托方与数据中介方订立合同时参照使用</w:t>
      </w:r>
      <w:r>
        <w:rPr>
          <w:rFonts w:hint="default" w:ascii="Times New Roman" w:hAnsi="Times New Roman" w:cs="Times New Roman"/>
          <w:b w:val="0"/>
          <w:bCs w:val="0"/>
        </w:rPr>
        <w:t>。</w:t>
      </w:r>
    </w:p>
    <w:p w14:paraId="1D33B373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jc w:val="both"/>
        <w:rPr>
          <w:rFonts w:hint="eastAsia" w:ascii="Times New Roman" w:hAnsi="Times New Roman" w:eastAsia="方正仿宋_GBK" w:cs="方正小标宋简体"/>
          <w:b w:val="0"/>
          <w:bCs w:val="0"/>
          <w:color w:val="auto"/>
          <w:sz w:val="30"/>
          <w:szCs w:val="30"/>
          <w:lang w:eastAsia="zh-CN"/>
        </w:rPr>
      </w:pPr>
      <w:bookmarkStart w:id="12" w:name="_Toc26268"/>
      <w:bookmarkStart w:id="13" w:name="_Toc8354"/>
      <w:bookmarkStart w:id="14" w:name="_Toc30456"/>
      <w:bookmarkStart w:id="15" w:name="_Toc2158"/>
      <w:bookmarkStart w:id="16" w:name="_Toc17011"/>
      <w:bookmarkStart w:id="17" w:name="_Toc13536"/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Times New Roman" w:hAnsi="Times New Roman" w:eastAsia="方正仿宋_GBK" w:cs="方正小标宋简体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val="en-US" w:eastAsia="zh-CN"/>
        </w:rPr>
        <w:t>双方当事人在订立合同之前应当仔细阅读</w:t>
      </w: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eastAsia="zh-CN"/>
        </w:rPr>
        <w:t>本合同文本</w:t>
      </w: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val="en-US" w:eastAsia="zh-CN"/>
        </w:rPr>
        <w:t>全部内容，结合具体情况确定具有选择性、补充性、填充性、修改性的内容，相应内容以手写项为优先，□部分供双方当事人协商选择，共同约定或选择的，在空格处打√；对于双方不作约定或者选择的，应当在空格处打×，以示删除，并承担合同订立、履行所产生的法律后果</w:t>
      </w:r>
      <w:r>
        <w:rPr>
          <w:rFonts w:hint="eastAsia" w:ascii="Times New Roman" w:hAnsi="Times New Roman" w:cs="方正小标宋简体"/>
          <w:b w:val="0"/>
          <w:bCs w:val="0"/>
          <w:color w:val="auto"/>
          <w:sz w:val="30"/>
          <w:szCs w:val="30"/>
          <w:lang w:eastAsia="zh-CN"/>
        </w:rPr>
        <w:t>。</w:t>
      </w:r>
    </w:p>
    <w:p w14:paraId="607CCB4C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jc w:val="both"/>
        <w:rPr>
          <w:rFonts w:hint="eastAsia" w:ascii="Times New Roman" w:hAnsi="Times New Roman" w:cs="方正小标宋简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eastAsia" w:ascii="Times New Roman" w:hAnsi="Times New Roman" w:eastAsia="方正仿宋_GBK" w:cs="方正小标宋简体"/>
          <w:b w:val="0"/>
          <w:bCs w:val="0"/>
          <w:color w:val="auto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val="en-US" w:eastAsia="zh-CN"/>
        </w:rPr>
        <w:t>双方当事人可以对</w:t>
      </w: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eastAsia="zh-CN"/>
        </w:rPr>
        <w:t>本合同文本</w:t>
      </w: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val="en-US" w:eastAsia="zh-CN"/>
        </w:rPr>
        <w:t>条款内容进行修改、增补或删除，但不得违</w:t>
      </w:r>
      <w:bookmarkStart w:id="115" w:name="_GoBack"/>
      <w:bookmarkEnd w:id="115"/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val="en-US" w:eastAsia="zh-CN"/>
        </w:rPr>
        <w:t>反法律、行政法规的强制性规定，不得违背公序良俗，不得不公平、不合理地加重买受人责任、排除或者限制买受人权利及减轻或者免除出卖人责任。</w:t>
      </w:r>
    </w:p>
    <w:p w14:paraId="33F304D1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jc w:val="both"/>
        <w:rPr>
          <w:rFonts w:hint="eastAsia" w:ascii="Times New Roman" w:hAnsi="Times New Roman" w:cs="方正小标宋简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val="en-US" w:eastAsia="zh-CN"/>
        </w:rPr>
        <w:t>四</w:t>
      </w:r>
      <w:r>
        <w:rPr>
          <w:rFonts w:hint="eastAsia" w:ascii="Times New Roman" w:hAnsi="Times New Roman" w:cs="方正小标宋简体"/>
          <w:b w:val="0"/>
          <w:bCs w:val="0"/>
          <w:color w:val="auto"/>
          <w:sz w:val="30"/>
          <w:szCs w:val="30"/>
          <w:lang w:val="en-US" w:eastAsia="zh-CN"/>
        </w:rPr>
        <w:t>、双方应当在交易前审慎全面核查交易主体，如当事人为无民事行为能力人或者限制民事行为能力人，则</w:t>
      </w: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eastAsia="zh-CN"/>
        </w:rPr>
        <w:t>本合同文本</w:t>
      </w:r>
      <w:r>
        <w:rPr>
          <w:rFonts w:hint="eastAsia" w:ascii="Times New Roman" w:hAnsi="Times New Roman" w:cs="方正小标宋简体"/>
          <w:b w:val="0"/>
          <w:bCs w:val="0"/>
          <w:color w:val="auto"/>
          <w:sz w:val="30"/>
          <w:szCs w:val="30"/>
          <w:lang w:val="en-US" w:eastAsia="zh-CN"/>
        </w:rPr>
        <w:t>应当由监护人签订。</w:t>
      </w:r>
    </w:p>
    <w:p w14:paraId="63647DB7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jc w:val="both"/>
        <w:rPr>
          <w:rFonts w:hint="eastAsia" w:ascii="Times New Roman" w:hAnsi="Times New Roman" w:cs="方正小标宋简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val="en-US" w:eastAsia="zh-CN"/>
        </w:rPr>
        <w:t>五</w:t>
      </w:r>
      <w:r>
        <w:rPr>
          <w:rFonts w:hint="eastAsia" w:ascii="Times New Roman" w:hAnsi="Times New Roman" w:cs="方正小标宋简体"/>
          <w:b w:val="0"/>
          <w:bCs w:val="0"/>
          <w:color w:val="auto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eastAsia="zh-CN"/>
        </w:rPr>
        <w:t>本合同文本</w:t>
      </w: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val="en-US" w:eastAsia="zh-CN"/>
        </w:rPr>
        <w:t>及其补充条款、补充协议及附件中的手写文字与打印文字有矛盾时，以手写文字为准。如阿拉伯数字与大写数字有矛盾时，以大写数字为准。</w:t>
      </w:r>
    </w:p>
    <w:p w14:paraId="354580A1">
      <w:pPr>
        <w:pageBreakBefore w:val="0"/>
        <w:widowControl/>
        <w:wordWrap/>
        <w:overflowPunct/>
        <w:topLinePunct w:val="0"/>
        <w:bidi w:val="0"/>
        <w:adjustRightInd/>
        <w:spacing w:line="588" w:lineRule="exact"/>
        <w:ind w:firstLine="60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val="en-US" w:eastAsia="zh-CN"/>
        </w:rPr>
        <w:t>六</w:t>
      </w:r>
      <w:r>
        <w:rPr>
          <w:rFonts w:hint="eastAsia" w:ascii="Times New Roman" w:hAnsi="Times New Roman" w:eastAsia="方正仿宋_GBK" w:cs="方正小标宋简体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Times New Roman" w:hAnsi="Times New Roman" w:cs="方正小标宋简体"/>
          <w:b w:val="0"/>
          <w:bCs w:val="0"/>
          <w:sz w:val="30"/>
          <w:szCs w:val="30"/>
          <w:lang w:eastAsia="zh-CN"/>
        </w:rPr>
        <w:t>本合同文本</w:t>
      </w:r>
      <w:bookmarkEnd w:id="12"/>
      <w:bookmarkEnd w:id="13"/>
      <w:bookmarkEnd w:id="14"/>
      <w:bookmarkEnd w:id="15"/>
      <w:bookmarkEnd w:id="16"/>
      <w:bookmarkEnd w:id="17"/>
      <w:r>
        <w:rPr>
          <w:rFonts w:hint="default" w:ascii="Times New Roman" w:hAnsi="Times New Roman" w:cs="Times New Roman"/>
          <w:b w:val="0"/>
          <w:bCs w:val="0"/>
        </w:rPr>
        <w:t>未尽事项，可由当事人附页另行约定，并作为本合同的组成部分。</w:t>
      </w:r>
    </w:p>
    <w:p w14:paraId="33F2BD7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0"/>
          <w:szCs w:val="30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0"/>
          <w:szCs w:val="30"/>
          <w:lang w:val="en-US" w:eastAsia="zh-CN"/>
        </w:rPr>
        <w:t>名词解释：</w:t>
      </w:r>
    </w:p>
    <w:p w14:paraId="54D21776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val="en-US" w:eastAsia="zh-CN"/>
        </w:rPr>
        <w:t>一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</w:rPr>
        <w:t>标的数据：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是</w:t>
      </w:r>
      <w:r>
        <w:rPr>
          <w:rFonts w:hint="default" w:ascii="Times New Roman" w:hAnsi="Times New Roman" w:cs="Times New Roman"/>
          <w:b w:val="0"/>
          <w:bCs w:val="0"/>
        </w:rPr>
        <w:t>指本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合同约定的</w:t>
      </w:r>
      <w:r>
        <w:rPr>
          <w:rFonts w:hint="default" w:ascii="Times New Roman" w:hAnsi="Times New Roman" w:cs="Times New Roman"/>
          <w:b w:val="0"/>
          <w:bCs w:val="0"/>
        </w:rPr>
        <w:t>中介服务对应的一系列数据。</w:t>
      </w:r>
    </w:p>
    <w:p w14:paraId="79CE7A59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val="en-US" w:eastAsia="zh-CN"/>
        </w:rPr>
        <w:t>二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</w:rPr>
        <w:t>数据中介服务：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是</w:t>
      </w:r>
      <w:r>
        <w:rPr>
          <w:rFonts w:hint="default" w:ascii="Times New Roman" w:hAnsi="Times New Roman" w:cs="Times New Roman"/>
          <w:b w:val="0"/>
          <w:bCs w:val="0"/>
        </w:rPr>
        <w:t>指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依</w:t>
      </w:r>
      <w:r>
        <w:rPr>
          <w:rFonts w:hint="default" w:ascii="Times New Roman" w:hAnsi="Times New Roman" w:cs="Times New Roman"/>
          <w:b w:val="0"/>
          <w:bCs w:val="0"/>
        </w:rPr>
        <w:t>据合同约定，中介方向委托方提供的市场推广、客户对接、合同订立等交易撮合活动。</w:t>
      </w:r>
    </w:p>
    <w:p w14:paraId="596D8195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val="en-US" w:eastAsia="zh-CN"/>
        </w:rPr>
        <w:t>三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</w:rPr>
        <w:t>数据持有权：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是指权利人自行持有或委托他人代为持有合法获取的数据的权利。旨在防范他人非法违规窃取、篡改、泄露或者破坏持有权人持有的数据。</w:t>
      </w:r>
    </w:p>
    <w:p w14:paraId="5F853F28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val="en-US" w:eastAsia="zh-CN"/>
        </w:rPr>
        <w:t>四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</w:rPr>
        <w:t>数据使用权：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是</w:t>
      </w:r>
      <w:r>
        <w:rPr>
          <w:rFonts w:hint="default" w:ascii="Times New Roman" w:hAnsi="Times New Roman" w:cs="Times New Roman"/>
          <w:b w:val="0"/>
          <w:bCs w:val="0"/>
        </w:rPr>
        <w:t>指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权利人</w:t>
      </w:r>
      <w:r>
        <w:rPr>
          <w:rFonts w:hint="default" w:ascii="Times New Roman" w:hAnsi="Times New Roman" w:cs="Times New Roman"/>
          <w:b w:val="0"/>
          <w:bCs w:val="0"/>
        </w:rPr>
        <w:t>通过加工、聚合、分析等方式，将数据用于优化生产经营、提供社会服务、形成衍生数据等的权利。一般来说，使用权是权利人在不对外提供数据的前提下，将数据用于内部使用的权利。</w:t>
      </w:r>
    </w:p>
    <w:p w14:paraId="7BD78334">
      <w:pPr>
        <w:pageBreakBefore w:val="0"/>
        <w:widowControl/>
        <w:wordWrap/>
        <w:overflowPunct/>
        <w:topLinePunct w:val="0"/>
        <w:bidi w:val="0"/>
        <w:adjustRightInd/>
        <w:spacing w:line="588" w:lineRule="exact"/>
        <w:ind w:firstLine="60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val="en-US" w:eastAsia="zh-CN"/>
        </w:rPr>
        <w:t>五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</w:rPr>
        <w:t>数据经营权：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是</w:t>
      </w:r>
      <w:r>
        <w:rPr>
          <w:rFonts w:hint="default" w:ascii="Times New Roman" w:hAnsi="Times New Roman" w:cs="Times New Roman"/>
          <w:b w:val="0"/>
          <w:bCs w:val="0"/>
        </w:rPr>
        <w:t>指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权利人</w:t>
      </w:r>
      <w:r>
        <w:rPr>
          <w:rFonts w:hint="default" w:ascii="Times New Roman" w:hAnsi="Times New Roman" w:cs="Times New Roman"/>
          <w:b w:val="0"/>
          <w:bCs w:val="0"/>
        </w:rPr>
        <w:t>通过转让、许可、出资或者设立担保等有偿或无偿的方式对外提供数据的权利。</w:t>
      </w:r>
    </w:p>
    <w:p w14:paraId="5C4173F5">
      <w:pPr>
        <w:pageBreakBefore w:val="0"/>
        <w:widowControl/>
        <w:wordWrap/>
        <w:overflowPunct/>
        <w:topLinePunct w:val="0"/>
        <w:bidi w:val="0"/>
        <w:adjustRightInd/>
        <w:spacing w:line="588" w:lineRule="exact"/>
        <w:ind w:firstLine="0" w:firstLineChars="0"/>
        <w:jc w:val="left"/>
        <w:rPr>
          <w:rFonts w:hint="default" w:ascii="Times New Roman" w:hAnsi="Times New Roman" w:cs="Times New Roman"/>
          <w:b w:val="0"/>
          <w:bCs w:val="0"/>
        </w:rPr>
      </w:pPr>
    </w:p>
    <w:p w14:paraId="56992DEB">
      <w:pPr>
        <w:pageBreakBefore w:val="0"/>
        <w:widowControl/>
        <w:wordWrap/>
        <w:overflowPunct/>
        <w:topLinePunct w:val="0"/>
        <w:bidi w:val="0"/>
        <w:adjustRightInd/>
        <w:spacing w:line="588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0"/>
          <w:szCs w:val="40"/>
          <w:shd w:val="clear"/>
        </w:rPr>
      </w:pPr>
    </w:p>
    <w:p w14:paraId="7054FC24">
      <w:pPr>
        <w:pageBreakBefore w:val="0"/>
        <w:widowControl/>
        <w:wordWrap/>
        <w:overflowPunct/>
        <w:topLinePunct w:val="0"/>
        <w:bidi w:val="0"/>
        <w:adjustRightInd/>
        <w:spacing w:line="588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0"/>
          <w:szCs w:val="40"/>
          <w:shd w:val="clear"/>
        </w:rPr>
      </w:pPr>
    </w:p>
    <w:p w14:paraId="7BBFD4A9">
      <w:pPr>
        <w:pageBreakBefore w:val="0"/>
        <w:widowControl/>
        <w:wordWrap/>
        <w:overflowPunct/>
        <w:topLinePunct w:val="0"/>
        <w:bidi w:val="0"/>
        <w:adjustRightInd/>
        <w:spacing w:line="588" w:lineRule="exact"/>
        <w:ind w:firstLine="0" w:firstLineChars="0"/>
        <w:jc w:val="center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0"/>
          <w:szCs w:val="40"/>
          <w:shd w:val="clear"/>
        </w:rPr>
        <w:t>特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0"/>
          <w:szCs w:val="40"/>
          <w:shd w:val="clear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0"/>
          <w:szCs w:val="40"/>
          <w:shd w:val="clear"/>
        </w:rPr>
        <w:t>别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0"/>
          <w:szCs w:val="40"/>
          <w:shd w:val="clear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0"/>
          <w:szCs w:val="40"/>
          <w:shd w:val="clear"/>
        </w:rPr>
        <w:t>提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0"/>
          <w:szCs w:val="40"/>
          <w:shd w:val="clear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0"/>
          <w:szCs w:val="40"/>
          <w:shd w:val="clear"/>
        </w:rPr>
        <w:t>示</w:t>
      </w:r>
    </w:p>
    <w:p w14:paraId="3F51BFED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eastAsia="方正仿宋_GBK" w:cs="Times New Roman"/>
          <w:b w:val="0"/>
          <w:bCs w:val="0"/>
        </w:rPr>
      </w:pPr>
    </w:p>
    <w:p w14:paraId="422C3852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</w:rPr>
        <w:t>一、</w:t>
      </w:r>
      <w:r>
        <w:rPr>
          <w:rFonts w:hint="default" w:ascii="Times New Roman" w:hAnsi="Times New Roman" w:cs="Times New Roman"/>
          <w:b w:val="0"/>
          <w:bCs w:val="0"/>
          <w:sz w:val="30"/>
          <w:szCs w:val="24"/>
          <w:lang w:eastAsia="zh-CN"/>
        </w:rPr>
        <w:t>本合同文本</w:t>
      </w:r>
      <w:r>
        <w:rPr>
          <w:rFonts w:hint="default" w:ascii="Times New Roman" w:hAnsi="Times New Roman" w:cs="Times New Roman"/>
          <w:b w:val="0"/>
          <w:bCs w:val="0"/>
        </w:rPr>
        <w:t>适用于数据中介方为促成数据交易而提供交易撮合服务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等的行为</w:t>
      </w:r>
      <w:r>
        <w:rPr>
          <w:rFonts w:hint="default" w:ascii="Times New Roman" w:hAnsi="Times New Roman" w:cs="Times New Roman"/>
          <w:b w:val="0"/>
          <w:bCs w:val="0"/>
        </w:rPr>
        <w:t>。</w:t>
      </w:r>
    </w:p>
    <w:p w14:paraId="0D49E57F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</w:rPr>
        <w:t>二、</w:t>
      </w:r>
      <w:r>
        <w:rPr>
          <w:rFonts w:hint="default" w:ascii="Times New Roman" w:hAnsi="Times New Roman" w:cs="Times New Roman"/>
          <w:b w:val="0"/>
          <w:bCs w:val="0"/>
        </w:rPr>
        <w:t>合同当事人为数据委托方与数据中介方。签约一方为多个当事人的，可按各自在合同关系中的角色在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</w:rPr>
        <w:t>数据委托方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”“</w:t>
      </w:r>
      <w:r>
        <w:rPr>
          <w:rFonts w:hint="default" w:ascii="Times New Roman" w:hAnsi="Times New Roman" w:cs="Times New Roman"/>
          <w:b w:val="0"/>
          <w:bCs w:val="0"/>
        </w:rPr>
        <w:t>数据中介方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</w:rPr>
        <w:t>项下（增项）分别排列为共同委托方或共同中介方。</w:t>
      </w:r>
    </w:p>
    <w:p w14:paraId="34761AEC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</w:pPr>
    </w:p>
    <w:p w14:paraId="5DE0E5C6">
      <w:pP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br w:type="page"/>
      </w:r>
    </w:p>
    <w:p w14:paraId="22386492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甲方（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委托方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szCs w:val="30"/>
        </w:rPr>
        <w:t>：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                       </w:t>
      </w:r>
    </w:p>
    <w:p w14:paraId="7878353A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证件类型：□统一社会信用代码□居民身份证□护照□其他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u w:val="single"/>
          <w:lang w:val="en-US" w:eastAsia="zh-CN"/>
        </w:rPr>
        <w:t xml:space="preserve">      </w:t>
      </w:r>
    </w:p>
    <w:p w14:paraId="25E3249B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证件号码：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                    </w:t>
      </w:r>
    </w:p>
    <w:p w14:paraId="49A9A245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注册地址/住所地：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              </w:t>
      </w:r>
    </w:p>
    <w:p w14:paraId="22BF215D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法定代表人：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 xml:space="preserve"> 委托代理人：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</w:t>
      </w:r>
    </w:p>
    <w:p w14:paraId="526D48B0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联系人：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 xml:space="preserve"> 联系电话：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</w:t>
      </w:r>
    </w:p>
    <w:p w14:paraId="4FBB737A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联系地址：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                    </w:t>
      </w:r>
    </w:p>
    <w:p w14:paraId="212C4FEF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trike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邮政编码：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 xml:space="preserve"> 电子邮箱：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</w:t>
      </w:r>
    </w:p>
    <w:p w14:paraId="3B44F677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</w:rPr>
      </w:pPr>
    </w:p>
    <w:p w14:paraId="2D4F934A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eastAsia="zh-CN"/>
        </w:rPr>
        <w:t>乙方（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中介方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</w:rPr>
        <w:t>：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                                    </w:t>
      </w:r>
    </w:p>
    <w:p w14:paraId="3ED579C7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证件类型：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统一社会信用代码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居民身份证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护照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其他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u w:val="single"/>
          <w:lang w:val="en-US" w:eastAsia="zh-CN"/>
        </w:rPr>
        <w:t xml:space="preserve">       </w:t>
      </w:r>
    </w:p>
    <w:p w14:paraId="4683B9D5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证件号码：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                    </w:t>
      </w:r>
    </w:p>
    <w:p w14:paraId="4D32F6A7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注册地址/住所地：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              </w:t>
      </w:r>
    </w:p>
    <w:p w14:paraId="3CD62792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法定代表人：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 xml:space="preserve"> 委托代理人：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</w:t>
      </w:r>
    </w:p>
    <w:p w14:paraId="265CC39A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联系人：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 xml:space="preserve"> 联系电话：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</w:t>
      </w:r>
    </w:p>
    <w:p w14:paraId="787ACE7A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联系地址：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   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</w:t>
      </w:r>
    </w:p>
    <w:p w14:paraId="0AC1270B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邮政编码：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 xml:space="preserve"> 电子邮箱：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</w:t>
      </w:r>
    </w:p>
    <w:p w14:paraId="24F18535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eastAsia="仿宋_GB2312" w:cs="Times New Roman"/>
          <w:b w:val="0"/>
          <w:bCs w:val="0"/>
          <w:szCs w:val="30"/>
        </w:rPr>
      </w:pPr>
    </w:p>
    <w:p w14:paraId="11434E62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</w:rPr>
        <w:t>（根据签约主体数量增删）</w:t>
      </w:r>
    </w:p>
    <w:p w14:paraId="5478C24E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丙方：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                                              </w:t>
      </w:r>
    </w:p>
    <w:p w14:paraId="66266E41">
      <w:pPr>
        <w:pageBreakBefore w:val="0"/>
        <w:wordWrap/>
        <w:overflowPunct/>
        <w:topLinePunct w:val="0"/>
        <w:bidi w:val="0"/>
        <w:adjustRightInd/>
        <w:spacing w:line="588" w:lineRule="exact"/>
        <w:ind w:left="602" w:hanging="600" w:hangingChars="20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证件类型：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统一社会信用代码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居民身份证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护照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其他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u w:val="single"/>
          <w:lang w:val="en-US" w:eastAsia="zh-CN"/>
        </w:rPr>
        <w:t xml:space="preserve">       </w:t>
      </w:r>
    </w:p>
    <w:p w14:paraId="4A83BF8E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证件号码：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   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</w:t>
      </w:r>
    </w:p>
    <w:p w14:paraId="330D04A2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注册地址/住所地：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              </w:t>
      </w:r>
    </w:p>
    <w:p w14:paraId="38AB3632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法定代表人：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 xml:space="preserve"> 委托代理人：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</w:t>
      </w:r>
    </w:p>
    <w:p w14:paraId="3C1B45B8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联系人：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 xml:space="preserve"> 联系电话：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</w:t>
      </w:r>
    </w:p>
    <w:p w14:paraId="0A7D2C5C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联系地址：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                     </w:t>
      </w:r>
    </w:p>
    <w:p w14:paraId="3F1B274A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邮政编码：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>电子邮箱：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</w:t>
      </w:r>
    </w:p>
    <w:p w14:paraId="46E2408C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</w:p>
    <w:p w14:paraId="4E7F836B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  <w:u w:val="singl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丁方：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                                 </w:t>
      </w:r>
    </w:p>
    <w:p w14:paraId="0BBAC540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证件类型：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统一社会信用代码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居民身份证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护照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其他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u w:val="single"/>
          <w:lang w:val="en-US" w:eastAsia="zh-CN"/>
        </w:rPr>
        <w:t xml:space="preserve">       </w:t>
      </w:r>
    </w:p>
    <w:p w14:paraId="348483F7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证件号码：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   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</w:t>
      </w:r>
    </w:p>
    <w:p w14:paraId="5E8E5DC5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注册地址/住所地：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              </w:t>
      </w:r>
    </w:p>
    <w:p w14:paraId="259B2E44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法定代表人：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 xml:space="preserve"> 委托代理人：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</w:t>
      </w:r>
    </w:p>
    <w:p w14:paraId="0D2D3F3C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联系人：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 xml:space="preserve"> 联系电话：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</w:t>
      </w:r>
    </w:p>
    <w:p w14:paraId="25AD3B41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联系地址：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   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</w:t>
      </w:r>
    </w:p>
    <w:p w14:paraId="57974373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邮政编码：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 xml:space="preserve"> 电子邮箱：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</w:t>
      </w:r>
    </w:p>
    <w:p w14:paraId="1D0613B2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br w:type="page"/>
      </w:r>
    </w:p>
    <w:p w14:paraId="18C5C223">
      <w:pPr>
        <w:pageBreakBefore w:val="0"/>
        <w:widowControl/>
        <w:wordWrap/>
        <w:overflowPunct/>
        <w:topLinePunct w:val="0"/>
        <w:bidi w:val="0"/>
        <w:adjustRightInd/>
        <w:spacing w:line="588" w:lineRule="exact"/>
        <w:ind w:firstLine="600" w:firstLineChars="0"/>
        <w:jc w:val="left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本合同各方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依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据《中华人民共和国民法典》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等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法律法规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的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有关规定</w:t>
      </w:r>
      <w:r>
        <w:rPr>
          <w:rFonts w:hint="default" w:ascii="Times New Roman" w:hAnsi="Times New Roman" w:cs="Times New Roman"/>
          <w:b w:val="0"/>
          <w:bCs w:val="0"/>
          <w:szCs w:val="30"/>
        </w:rPr>
        <w:t>，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遵循</w:t>
      </w:r>
      <w:r>
        <w:rPr>
          <w:rFonts w:hint="default" w:ascii="Times New Roman" w:hAnsi="Times New Roman" w:cs="Times New Roman"/>
          <w:b w:val="0"/>
          <w:bCs w:val="0"/>
        </w:rPr>
        <w:t>平等、自愿、公平、诚实信用的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原则</w:t>
      </w:r>
      <w:r>
        <w:rPr>
          <w:rFonts w:hint="default" w:ascii="Times New Roman" w:hAnsi="Times New Roman" w:cs="Times New Roman"/>
          <w:b w:val="0"/>
          <w:bCs w:val="0"/>
        </w:rPr>
        <w:t>，就数据中介服务事宜协商一致，订立本合同。</w:t>
      </w:r>
    </w:p>
    <w:p w14:paraId="30BBE7B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18" w:name="_Toc5502"/>
      <w:bookmarkStart w:id="19" w:name="_Toc25739"/>
      <w:bookmarkStart w:id="20" w:name="_Toc10086"/>
      <w:bookmarkStart w:id="21" w:name="_Toc21872"/>
      <w:bookmarkStart w:id="22" w:name="_Toc22537"/>
      <w:bookmarkStart w:id="23" w:name="_Toc8291"/>
      <w:bookmarkStart w:id="24" w:name="_Toc24715"/>
      <w:bookmarkStart w:id="25" w:name="_Toc21133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b w:val="0"/>
          <w:bCs w:val="0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条 标的数据</w:t>
      </w:r>
      <w:bookmarkEnd w:id="18"/>
      <w:bookmarkEnd w:id="19"/>
      <w:bookmarkEnd w:id="20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描述</w:t>
      </w:r>
      <w:bookmarkEnd w:id="21"/>
      <w:bookmarkEnd w:id="22"/>
      <w:bookmarkEnd w:id="23"/>
      <w:bookmarkEnd w:id="24"/>
      <w:bookmarkEnd w:id="25"/>
    </w:p>
    <w:p w14:paraId="43974F6B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委托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提供交易撮合服务的</w:t>
      </w:r>
      <w:r>
        <w:rPr>
          <w:rFonts w:hint="default" w:ascii="Times New Roman" w:hAnsi="Times New Roman" w:cs="Times New Roman"/>
          <w:b w:val="0"/>
          <w:bCs w:val="0"/>
        </w:rPr>
        <w:t>标的数据的范围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是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：</w:t>
      </w:r>
    </w:p>
    <w:tbl>
      <w:tblPr>
        <w:tblStyle w:val="14"/>
        <w:tblW w:w="8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5881"/>
      </w:tblGrid>
      <w:tr w14:paraId="0C608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451" w:type="dxa"/>
            <w:vAlign w:val="center"/>
          </w:tcPr>
          <w:p w14:paraId="08AF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bookmarkStart w:id="26" w:name="_Hlk165552392"/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标的数据1名称</w:t>
            </w:r>
          </w:p>
        </w:tc>
        <w:tc>
          <w:tcPr>
            <w:tcW w:w="5881" w:type="dxa"/>
          </w:tcPr>
          <w:p w14:paraId="4D15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4061F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451" w:type="dxa"/>
            <w:vAlign w:val="center"/>
          </w:tcPr>
          <w:p w14:paraId="35AC2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数据来源</w:t>
            </w:r>
          </w:p>
        </w:tc>
        <w:tc>
          <w:tcPr>
            <w:tcW w:w="5881" w:type="dxa"/>
          </w:tcPr>
          <w:p w14:paraId="01A9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02D2F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451" w:type="dxa"/>
            <w:vAlign w:val="center"/>
          </w:tcPr>
          <w:p w14:paraId="4C173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数据规模</w:t>
            </w:r>
          </w:p>
        </w:tc>
        <w:tc>
          <w:tcPr>
            <w:tcW w:w="5881" w:type="dxa"/>
          </w:tcPr>
          <w:p w14:paraId="14D2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67928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451" w:type="dxa"/>
            <w:vAlign w:val="center"/>
          </w:tcPr>
          <w:p w14:paraId="73D7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数据提供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形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式</w:t>
            </w:r>
          </w:p>
        </w:tc>
        <w:tc>
          <w:tcPr>
            <w:tcW w:w="5881" w:type="dxa"/>
          </w:tcPr>
          <w:p w14:paraId="6AC1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集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API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其他</w:t>
            </w:r>
          </w:p>
        </w:tc>
      </w:tr>
      <w:tr w14:paraId="4584C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451" w:type="dxa"/>
            <w:vAlign w:val="center"/>
          </w:tcPr>
          <w:p w14:paraId="5E76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标的数据2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881" w:type="dxa"/>
          </w:tcPr>
          <w:p w14:paraId="16E0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9B44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451" w:type="dxa"/>
            <w:vAlign w:val="center"/>
          </w:tcPr>
          <w:p w14:paraId="4CBA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数据名称</w:t>
            </w:r>
          </w:p>
        </w:tc>
        <w:tc>
          <w:tcPr>
            <w:tcW w:w="5881" w:type="dxa"/>
          </w:tcPr>
          <w:p w14:paraId="17EBB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FAD4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451" w:type="dxa"/>
            <w:vAlign w:val="center"/>
          </w:tcPr>
          <w:p w14:paraId="15858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数据规模</w:t>
            </w:r>
          </w:p>
        </w:tc>
        <w:tc>
          <w:tcPr>
            <w:tcW w:w="5881" w:type="dxa"/>
          </w:tcPr>
          <w:p w14:paraId="58D4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EACA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451" w:type="dxa"/>
            <w:vAlign w:val="center"/>
          </w:tcPr>
          <w:p w14:paraId="2053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数据来源</w:t>
            </w:r>
          </w:p>
        </w:tc>
        <w:tc>
          <w:tcPr>
            <w:tcW w:w="5881" w:type="dxa"/>
          </w:tcPr>
          <w:p w14:paraId="44A19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096C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451" w:type="dxa"/>
            <w:vAlign w:val="center"/>
          </w:tcPr>
          <w:p w14:paraId="4FCD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数据提供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形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式</w:t>
            </w:r>
          </w:p>
        </w:tc>
        <w:tc>
          <w:tcPr>
            <w:tcW w:w="5881" w:type="dxa"/>
          </w:tcPr>
          <w:p w14:paraId="5D11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集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API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其他</w:t>
            </w:r>
          </w:p>
        </w:tc>
      </w:tr>
      <w:tr w14:paraId="6C849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451" w:type="dxa"/>
            <w:vAlign w:val="center"/>
          </w:tcPr>
          <w:p w14:paraId="30C4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标的数据3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881" w:type="dxa"/>
          </w:tcPr>
          <w:p w14:paraId="193B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B427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451" w:type="dxa"/>
            <w:vAlign w:val="center"/>
          </w:tcPr>
          <w:p w14:paraId="053C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数据名称</w:t>
            </w:r>
          </w:p>
        </w:tc>
        <w:tc>
          <w:tcPr>
            <w:tcW w:w="5881" w:type="dxa"/>
          </w:tcPr>
          <w:p w14:paraId="38FD2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64E1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451" w:type="dxa"/>
            <w:vAlign w:val="center"/>
          </w:tcPr>
          <w:p w14:paraId="0F7C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数据规模</w:t>
            </w:r>
          </w:p>
        </w:tc>
        <w:tc>
          <w:tcPr>
            <w:tcW w:w="5881" w:type="dxa"/>
          </w:tcPr>
          <w:p w14:paraId="3243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B8DE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451" w:type="dxa"/>
            <w:vAlign w:val="center"/>
          </w:tcPr>
          <w:p w14:paraId="2390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数据来源</w:t>
            </w:r>
          </w:p>
        </w:tc>
        <w:tc>
          <w:tcPr>
            <w:tcW w:w="5881" w:type="dxa"/>
          </w:tcPr>
          <w:p w14:paraId="0E0EA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27E9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451" w:type="dxa"/>
            <w:vAlign w:val="center"/>
          </w:tcPr>
          <w:p w14:paraId="629C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数据提供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形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式</w:t>
            </w:r>
          </w:p>
        </w:tc>
        <w:tc>
          <w:tcPr>
            <w:tcW w:w="5881" w:type="dxa"/>
          </w:tcPr>
          <w:p w14:paraId="5B83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数据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集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API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其他</w:t>
            </w:r>
          </w:p>
        </w:tc>
      </w:tr>
      <w:bookmarkEnd w:id="26"/>
    </w:tbl>
    <w:p w14:paraId="2465AFA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27" w:name="_Toc1912"/>
      <w:bookmarkStart w:id="28" w:name="_Toc28532"/>
      <w:bookmarkStart w:id="29" w:name="_Toc16649"/>
      <w:bookmarkStart w:id="30" w:name="_Toc8061"/>
      <w:bookmarkStart w:id="31" w:name="_Toc26951"/>
      <w:bookmarkStart w:id="32" w:name="_Toc25948"/>
      <w:bookmarkStart w:id="33" w:name="_Toc39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b w:val="0"/>
          <w:bCs w:val="0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条 数据中介服务期限与范围</w:t>
      </w:r>
      <w:bookmarkEnd w:id="27"/>
      <w:bookmarkEnd w:id="28"/>
      <w:bookmarkEnd w:id="29"/>
      <w:bookmarkEnd w:id="30"/>
      <w:bookmarkEnd w:id="31"/>
      <w:bookmarkEnd w:id="32"/>
      <w:bookmarkEnd w:id="33"/>
    </w:p>
    <w:p w14:paraId="23F9DD0B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Cs w:val="30"/>
        </w:rPr>
        <w:t>.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为了促成标的数据的交易，自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</w:rPr>
        <w:t>年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</w:rPr>
        <w:t>月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</w:rPr>
        <w:t>日</w:t>
      </w:r>
      <w:r>
        <w:rPr>
          <w:rFonts w:hint="default" w:ascii="Times New Roman" w:hAnsi="Times New Roman" w:cs="Times New Roman"/>
          <w:b w:val="0"/>
          <w:bCs w:val="0"/>
        </w:rPr>
        <w:t>至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</w:rPr>
        <w:t>年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</w:rPr>
        <w:t>月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</w:rPr>
        <w:t>日</w:t>
      </w:r>
      <w:r>
        <w:rPr>
          <w:rFonts w:hint="default" w:ascii="Times New Roman" w:hAnsi="Times New Roman" w:cs="Times New Roman"/>
          <w:b w:val="0"/>
          <w:bCs w:val="0"/>
        </w:rPr>
        <w:t>向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提供以下第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>项中介服务：</w:t>
      </w:r>
    </w:p>
    <w:p w14:paraId="495C9F65">
      <w:pPr>
        <w:pStyle w:val="16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（1）对标的数据进行市场推广，具体形式包括但不限于在交易所挂牌上架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，举办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线下宣传活动、行业展会等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35AA64F1"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00"/>
        <w:textAlignment w:val="auto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协助办理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标的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数据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的</w:t>
      </w:r>
      <w:r>
        <w:rPr>
          <w:rFonts w:hint="default" w:ascii="Times New Roman" w:hAnsi="Times New Roman" w:cs="Times New Roman"/>
          <w:b w:val="0"/>
          <w:bCs w:val="0"/>
          <w:szCs w:val="30"/>
        </w:rPr>
        <w:t>产权登记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登记机构由双方共同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选择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076F153E"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00"/>
        <w:textAlignment w:val="auto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向潜在数据需求方介绍标的数据情况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，具体方式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包括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但不限于电话沟通、电子邮件、面对面会议等，介绍内容包括数据规模、应用场景、更新频率等关键信息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3C16A6C9"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向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提供市场行情、报告潜在数据需求方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/数据提供方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和交易机会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3AE2FF3A"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00"/>
        <w:textAlignment w:val="auto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促成标的数据交易，并协助签订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履行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数据交易合同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，具体步骤包括但不限于组织双方会面、协调谈判、起草合同草案、审核合同条款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鉴</w:t>
      </w:r>
      <w:r>
        <w:rPr>
          <w:rFonts w:hint="eastAsia" w:ascii="Times New Roman" w:hAnsi="Times New Roman" w:cs="Times New Roman"/>
          <w:b w:val="0"/>
          <w:bCs w:val="0"/>
          <w:szCs w:val="30"/>
          <w:highlight w:val="none"/>
          <w:lang w:val="en-US" w:eastAsia="zh-CN"/>
        </w:rPr>
        <w:t>证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数据交付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等，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协助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合同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顺利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签订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履行</w:t>
      </w:r>
      <w:r>
        <w:rPr>
          <w:rFonts w:hint="default" w:ascii="Times New Roman" w:hAnsi="Times New Roman" w:cs="Times New Roman"/>
          <w:b w:val="0"/>
          <w:bCs w:val="0"/>
          <w:szCs w:val="30"/>
        </w:rPr>
        <w:t>。</w:t>
      </w:r>
    </w:p>
    <w:p w14:paraId="769B2D3D">
      <w:pPr>
        <w:pStyle w:val="16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应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按照下列第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种方式提供中介服务：</w:t>
      </w:r>
    </w:p>
    <w:p w14:paraId="6CF95D34">
      <w:pPr>
        <w:pStyle w:val="16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（1）承诺业绩基线</w:t>
      </w:r>
    </w:p>
    <w:p w14:paraId="4B3FA82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市场推广效果：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乙方承诺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市场推广覆盖到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，按照</w:t>
      </w:r>
      <w:r>
        <w:rPr>
          <w:rFonts w:hint="default" w:ascii="Times New Roman" w:hAnsi="Times New Roman" w:cs="Times New Roman"/>
          <w:b w:val="0"/>
          <w:bCs w:val="0"/>
          <w:szCs w:val="30"/>
        </w:rPr>
        <w:t>《数据交易机构互认互通倡议》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推动标的数据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szCs w:val="30"/>
        </w:rPr>
        <w:t>一地上架，全国互认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并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  <w:lang w:val="en-US" w:eastAsia="zh-CN"/>
        </w:rPr>
        <w:t>（填写具体时间或者时间频率）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向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汇报推广进展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2E8C1557">
      <w:pPr>
        <w:pStyle w:val="16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客户对接成功率：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乙方</w:t>
      </w:r>
      <w:r>
        <w:rPr>
          <w:rFonts w:hint="eastAsia" w:ascii="Times New Roman" w:hAnsi="Times New Roman" w:cs="Times New Roman"/>
          <w:b w:val="0"/>
          <w:bCs w:val="0"/>
          <w:szCs w:val="30"/>
          <w:highlight w:val="none"/>
          <w:lang w:val="en-US" w:eastAsia="zh-CN"/>
        </w:rPr>
        <w:t>承诺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客户对接的成功率达到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66200583">
      <w:pPr>
        <w:pStyle w:val="16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0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Cs w:val="30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其他服务质量标准：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2C305D91">
      <w:pPr>
        <w:pStyle w:val="16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Cs w:val="30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Cs w:val="30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szCs w:val="30"/>
          <w:lang w:val="en-US" w:eastAsia="zh-CN"/>
        </w:rPr>
        <w:t>不承诺业绩基线</w:t>
      </w:r>
    </w:p>
    <w:p w14:paraId="4316EC10">
      <w:pPr>
        <w:pStyle w:val="16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Cs w:val="3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乙方</w:t>
      </w:r>
      <w:r>
        <w:rPr>
          <w:rFonts w:hint="eastAsia" w:ascii="Times New Roman" w:hAnsi="Times New Roman" w:eastAsia="方正仿宋_GBK" w:cs="Times New Roman"/>
          <w:b w:val="0"/>
          <w:bCs w:val="0"/>
          <w:szCs w:val="30"/>
          <w:lang w:val="en-US" w:eastAsia="zh-CN"/>
        </w:rPr>
        <w:t>充分发挥自身优势为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甲方</w:t>
      </w:r>
      <w:r>
        <w:rPr>
          <w:rFonts w:hint="eastAsia" w:ascii="Times New Roman" w:hAnsi="Times New Roman" w:eastAsia="方正仿宋_GBK" w:cs="Times New Roman"/>
          <w:b w:val="0"/>
          <w:bCs w:val="0"/>
          <w:szCs w:val="30"/>
          <w:lang w:val="en-US" w:eastAsia="zh-CN"/>
        </w:rPr>
        <w:t>提供中介服务，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按照</w:t>
      </w:r>
      <w:r>
        <w:rPr>
          <w:rFonts w:hint="default" w:ascii="Times New Roman" w:hAnsi="Times New Roman" w:cs="Times New Roman"/>
          <w:b w:val="0"/>
          <w:bCs w:val="0"/>
          <w:szCs w:val="30"/>
        </w:rPr>
        <w:t>《数据交易机构互认互通倡议》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推动标的数据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szCs w:val="30"/>
        </w:rPr>
        <w:t>一地上架，全国互认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Cs w:val="30"/>
          <w:lang w:val="en-US" w:eastAsia="zh-CN"/>
        </w:rPr>
        <w:t>及时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向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汇报推广进展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。</w:t>
      </w:r>
    </w:p>
    <w:p w14:paraId="7ED0873D">
      <w:pPr>
        <w:pStyle w:val="16"/>
        <w:pageBreakBefore w:val="0"/>
        <w:wordWrap/>
        <w:overflowPunct/>
        <w:topLinePunct w:val="0"/>
        <w:bidi w:val="0"/>
        <w:adjustRightInd/>
        <w:spacing w:line="588" w:lineRule="exact"/>
        <w:ind w:left="0" w:firstLine="60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3.服务期限内，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是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否可以委托其他中介人提供内容相同或者相近的中介服务，并且及时将相关信息告知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。</w:t>
      </w:r>
    </w:p>
    <w:p w14:paraId="454D06A2">
      <w:pPr>
        <w:pStyle w:val="16"/>
        <w:pageBreakBefore w:val="0"/>
        <w:wordWrap/>
        <w:overflowPunct/>
        <w:topLinePunct w:val="0"/>
        <w:bidi w:val="0"/>
        <w:adjustRightInd/>
        <w:spacing w:line="588" w:lineRule="exact"/>
        <w:ind w:left="0" w:firstLine="60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是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否同意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将本合同约定的服务委托给第三人。</w:t>
      </w:r>
    </w:p>
    <w:p w14:paraId="6F2D98D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34" w:name="_Toc3152"/>
      <w:bookmarkStart w:id="35" w:name="_Toc4151"/>
      <w:bookmarkStart w:id="36" w:name="_Toc7307"/>
      <w:bookmarkStart w:id="37" w:name="_Toc7160"/>
      <w:bookmarkStart w:id="38" w:name="_Toc12032"/>
      <w:bookmarkStart w:id="39" w:name="_Toc1349"/>
      <w:bookmarkStart w:id="40" w:name="_Toc20821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b w:val="0"/>
          <w:bCs w:val="0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条 数据中介服务费</w:t>
      </w:r>
      <w:bookmarkEnd w:id="34"/>
      <w:bookmarkEnd w:id="35"/>
      <w:bookmarkEnd w:id="36"/>
      <w:bookmarkEnd w:id="37"/>
      <w:bookmarkEnd w:id="38"/>
      <w:bookmarkEnd w:id="39"/>
      <w:bookmarkEnd w:id="40"/>
    </w:p>
    <w:p w14:paraId="3F614141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outlineLvl w:val="9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Cs w:val="30"/>
        </w:rPr>
        <w:t>.经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促成，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与数据需求方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/提供方等相关方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达成交易并签订数据交易合同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之日起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  <w:t>个工作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日内，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应向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支付数据中介服务费用。</w:t>
      </w:r>
    </w:p>
    <w:p w14:paraId="2C0754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/>
        <w:textAlignment w:val="auto"/>
        <w:outlineLvl w:val="9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Cs w:val="30"/>
        </w:rPr>
        <w:t>.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向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支付数据中介服务费用的金额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以下列</w:t>
      </w:r>
      <w:r>
        <w:rPr>
          <w:rFonts w:hint="default" w:ascii="Times New Roman" w:hAnsi="Times New Roman" w:cs="Times New Roman"/>
          <w:b w:val="0"/>
          <w:bCs w:val="0"/>
          <w:szCs w:val="30"/>
        </w:rPr>
        <w:t>第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>种方式计算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：</w:t>
      </w:r>
    </w:p>
    <w:p w14:paraId="4EF2CFB0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（1）按照数据交易合同项下合同金额的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>%作为数据中介服务费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77CBC4B2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（2）按照固定金额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</w:rPr>
        <w:t>（大写：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 w:val="0"/>
          <w:bCs w:val="0"/>
        </w:rPr>
        <w:t>，含税）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74E09ABF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Cs w:val="30"/>
        </w:rPr>
        <w:t>（3）其他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>。</w:t>
      </w:r>
    </w:p>
    <w:p w14:paraId="4A00D3F8">
      <w:pPr>
        <w:pageBreakBefore w:val="0"/>
        <w:wordWrap/>
        <w:overflowPunct/>
        <w:topLinePunct w:val="0"/>
        <w:bidi w:val="0"/>
        <w:adjustRightInd/>
        <w:spacing w:line="588" w:lineRule="exact"/>
        <w:ind w:left="0" w:leftChars="0" w:firstLine="600" w:firstLineChars="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Cs w:val="30"/>
        </w:rPr>
        <w:t>.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未促成合同成立的，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从事数据中介支出的必要费用由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甲方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  <w:szCs w:val="30"/>
        </w:rPr>
        <w:t>乙方负担。必要费用的计算标准为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  <w:lang w:val="en-US" w:eastAsia="zh-CN"/>
        </w:rPr>
        <w:t>如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</w:rPr>
        <w:t>按照</w:t>
      </w:r>
      <w:r>
        <w:rPr>
          <w:rFonts w:hint="eastAsia" w:ascii="Times New Roman" w:hAnsi="Times New Roman" w:cs="Times New Roman"/>
          <w:b w:val="0"/>
          <w:bCs w:val="0"/>
          <w:szCs w:val="30"/>
          <w:u w:val="none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</w:rPr>
        <w:t>提供的实际支出凭证支付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szCs w:val="30"/>
        </w:rPr>
        <w:t>。</w:t>
      </w:r>
    </w:p>
    <w:p w14:paraId="78DD9E31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应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依法</w:t>
      </w:r>
      <w:r>
        <w:rPr>
          <w:rFonts w:hint="default" w:ascii="Times New Roman" w:hAnsi="Times New Roman" w:cs="Times New Roman"/>
          <w:b w:val="0"/>
          <w:bCs w:val="0"/>
        </w:rPr>
        <w:t>向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开具等额有效的增值税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</w:rPr>
        <w:t>专用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</w:rPr>
        <w:t>普通发票。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如因国家税务政策变更等导致税率变化，应以变化后的税率为准。</w:t>
      </w:r>
    </w:p>
    <w:p w14:paraId="136CB698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eastAsia" w:ascii="Times New Roman" w:hAnsi="Times New Roman" w:eastAsia="方正仿宋_GBK" w:cs="Times New Roman"/>
          <w:b w:val="0"/>
          <w:bCs w:val="0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收款账户信息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：</w:t>
      </w:r>
    </w:p>
    <w:p w14:paraId="0D16C806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账户名称： 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  <w:t>；</w:t>
      </w:r>
    </w:p>
    <w:p w14:paraId="0AFB09BE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开户银行： 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  <w:t>；</w:t>
      </w:r>
    </w:p>
    <w:p w14:paraId="263E4A4F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</w:rPr>
        <w:t>账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</w:rPr>
        <w:t>号：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  <w:lang w:eastAsia="zh-CN"/>
        </w:rPr>
        <w:t>。</w:t>
      </w:r>
    </w:p>
    <w:p w14:paraId="0C12DF0B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eastAsia" w:ascii="Times New Roman" w:hAnsi="Times New Roman" w:eastAsia="方正仿宋_GBK" w:cs="Times New Roman"/>
          <w:b w:val="0"/>
          <w:bCs w:val="0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开票信息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：</w:t>
      </w:r>
    </w:p>
    <w:p w14:paraId="494D2446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</w:rPr>
        <w:t>公司名称：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  <w:t>；</w:t>
      </w:r>
    </w:p>
    <w:p w14:paraId="4000355C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</w:rPr>
        <w:t>纳税人识别号：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  <w:lang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  <w:t>；</w:t>
      </w:r>
    </w:p>
    <w:p w14:paraId="2E803620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</w:rPr>
        <w:t>地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</w:rPr>
        <w:t>址：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  <w:t>；</w:t>
      </w:r>
    </w:p>
    <w:p w14:paraId="632B5C9E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</w:rPr>
        <w:t>联系电话：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  <w:lang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  <w:t>；</w:t>
      </w:r>
    </w:p>
    <w:p w14:paraId="70598E1D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</w:rPr>
        <w:t>开户银行：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none"/>
          <w:lang w:val="en-US" w:eastAsia="zh-CN"/>
        </w:rPr>
        <w:t>；</w:t>
      </w:r>
    </w:p>
    <w:p w14:paraId="6C5C8105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 w:firstLineChars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账    号：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                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 w:val="0"/>
          <w:bCs w:val="0"/>
          <w:szCs w:val="30"/>
          <w:u w:val="none"/>
          <w:lang w:eastAsia="zh-CN"/>
        </w:rPr>
        <w:t>。</w:t>
      </w:r>
    </w:p>
    <w:p w14:paraId="62F588A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41" w:name="_Toc687"/>
      <w:bookmarkStart w:id="42" w:name="_Toc30274"/>
      <w:bookmarkStart w:id="43" w:name="_Toc28822"/>
      <w:bookmarkStart w:id="44" w:name="_Toc2114"/>
      <w:bookmarkStart w:id="45" w:name="_Toc9592"/>
      <w:bookmarkStart w:id="46" w:name="_Toc29264"/>
      <w:bookmarkStart w:id="47" w:name="_Toc5654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b w:val="0"/>
          <w:bCs w:val="0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条 各方权利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73DCD26E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有权</w:t>
      </w:r>
      <w:r>
        <w:rPr>
          <w:rFonts w:hint="default" w:ascii="Times New Roman" w:hAnsi="Times New Roman" w:cs="Times New Roman"/>
          <w:b w:val="0"/>
          <w:bCs w:val="0"/>
        </w:rPr>
        <w:t>要求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按照合同约定提供数据中介服务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12C95BA2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有权</w:t>
      </w:r>
      <w:r>
        <w:rPr>
          <w:rFonts w:hint="default" w:ascii="Times New Roman" w:hAnsi="Times New Roman" w:cs="Times New Roman"/>
          <w:b w:val="0"/>
          <w:bCs w:val="0"/>
        </w:rPr>
        <w:t>要求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及时报告中介活动的进展情况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4246EDA9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有权</w:t>
      </w:r>
      <w:r>
        <w:rPr>
          <w:rFonts w:hint="default" w:ascii="Times New Roman" w:hAnsi="Times New Roman" w:cs="Times New Roman"/>
          <w:b w:val="0"/>
          <w:bCs w:val="0"/>
        </w:rPr>
        <w:t>要求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如实告知与订立数据交易合同有关的信息及情况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2C85BE04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未利用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提供的订立合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同的</w:t>
      </w:r>
      <w:r>
        <w:rPr>
          <w:rFonts w:hint="default" w:ascii="Times New Roman" w:hAnsi="Times New Roman" w:cs="Times New Roman"/>
          <w:b w:val="0"/>
          <w:bCs w:val="0"/>
        </w:rPr>
        <w:t>机会或者媒介服务，与第三人订立合同的，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无需</w:t>
      </w:r>
      <w:r>
        <w:rPr>
          <w:rFonts w:hint="default" w:ascii="Times New Roman" w:hAnsi="Times New Roman" w:cs="Times New Roman"/>
          <w:b w:val="0"/>
          <w:bCs w:val="0"/>
        </w:rPr>
        <w:t>向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支付中介服务费。</w:t>
      </w:r>
    </w:p>
    <w:p w14:paraId="075DEBDD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  <w:highlight w:val="yellow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有权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要求</w:t>
      </w:r>
      <w:r>
        <w:rPr>
          <w:rFonts w:hint="eastAsia" w:ascii="Times New Roman" w:hAnsi="Times New Roman" w:cs="Times New Roman"/>
          <w:b w:val="0"/>
          <w:bCs w:val="0"/>
          <w:highlight w:val="none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按照约定及时足额支付数据中介服务费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267E3C7B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有权</w:t>
      </w:r>
      <w:r>
        <w:rPr>
          <w:rFonts w:hint="default" w:ascii="Times New Roman" w:hAnsi="Times New Roman" w:cs="Times New Roman"/>
          <w:b w:val="0"/>
          <w:bCs w:val="0"/>
        </w:rPr>
        <w:t>要求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提供必要协助，包括提供标的数据相关资料或证明，以便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进行必要审查。</w:t>
      </w:r>
    </w:p>
    <w:p w14:paraId="62208A25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确认，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</w:rPr>
        <w:t>授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予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□</w:t>
      </w:r>
      <w:r>
        <w:rPr>
          <w:rFonts w:hint="default" w:ascii="Times New Roman" w:hAnsi="Times New Roman" w:cs="Times New Roman"/>
          <w:b w:val="0"/>
          <w:bCs w:val="0"/>
        </w:rPr>
        <w:t>不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授予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数据经营权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甲方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授予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数据经营权的，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自与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签订本合同后取得经营权，并在授权范围内按照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要求行使数据经营权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应当配合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乙方行使</w:t>
      </w:r>
      <w:r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  <w:t>经营权，保障数据按约提供给第三方。</w:t>
      </w:r>
    </w:p>
    <w:p w14:paraId="0C39F369">
      <w:pPr>
        <w:pStyle w:val="2"/>
        <w:keepNext/>
        <w:keepLines/>
        <w:pageBreakBefore w:val="0"/>
        <w:widowControl w:val="0"/>
        <w:suppressLineNumbers w:val="0"/>
        <w:wordWrap/>
        <w:overflowPunct/>
        <w:topLinePunct w:val="0"/>
        <w:bidi w:val="0"/>
        <w:adjustRightInd/>
        <w:spacing w:line="588" w:lineRule="exact"/>
        <w:ind w:firstLine="640"/>
        <w:jc w:val="both"/>
        <w:outlineLvl w:val="0"/>
        <w:rPr>
          <w:rFonts w:hint="default" w:ascii="Times New Roman" w:hAnsi="Times New Roman" w:eastAsia="方正楷体_GBK" w:cs="Times New Roman"/>
          <w:b w:val="0"/>
          <w:bCs w:val="0"/>
          <w:color w:val="000000"/>
          <w:kern w:val="44"/>
          <w:sz w:val="32"/>
          <w:szCs w:val="44"/>
          <w:lang w:val="en-US" w:eastAsia="zh-CN" w:bidi="ar"/>
        </w:rPr>
      </w:pPr>
      <w:bookmarkStart w:id="48" w:name="_Toc21891"/>
      <w:bookmarkStart w:id="49" w:name="_Toc17369"/>
      <w:bookmarkStart w:id="50" w:name="_Toc18153"/>
      <w:bookmarkStart w:id="51" w:name="_Toc24688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b w:val="0"/>
          <w:bCs w:val="0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条 各方</w:t>
      </w:r>
      <w:r>
        <w:rPr>
          <w:rFonts w:hint="default" w:ascii="Times New Roman" w:hAnsi="Times New Roman" w:eastAsia="方正楷体_GBK" w:cs="Times New Roman"/>
          <w:b w:val="0"/>
          <w:bCs w:val="0"/>
          <w:kern w:val="44"/>
          <w:sz w:val="32"/>
          <w:szCs w:val="44"/>
          <w:lang w:val="en-US" w:eastAsia="zh-CN" w:bidi="ar"/>
        </w:rPr>
        <w:t>义务</w:t>
      </w:r>
      <w:bookmarkEnd w:id="48"/>
      <w:bookmarkEnd w:id="49"/>
      <w:bookmarkEnd w:id="50"/>
      <w:bookmarkEnd w:id="51"/>
    </w:p>
    <w:p w14:paraId="1D8D74A3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利用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提供的交易机会或者媒介服务，绕开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直接订立数据交易合同的，有义务依法向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支付数据中介服务费用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5FCA0CD2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确保标的数据的来源合法、权属清晰、持有合规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3AD3FDDE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乙方应</w:t>
      </w:r>
      <w:r>
        <w:rPr>
          <w:rFonts w:hint="default" w:ascii="Times New Roman" w:hAnsi="Times New Roman" w:cs="Times New Roman"/>
          <w:b w:val="0"/>
          <w:bCs w:val="0"/>
        </w:rPr>
        <w:t>按照法律法规规定及本合同约定提供数据中介服务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1FBE39AA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乙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方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应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及时、全面、准确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地</w:t>
      </w:r>
      <w:r>
        <w:rPr>
          <w:rFonts w:hint="default" w:ascii="Times New Roman" w:hAnsi="Times New Roman" w:cs="Times New Roman"/>
          <w:b w:val="0"/>
          <w:bCs w:val="0"/>
        </w:rPr>
        <w:t>向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提供</w:t>
      </w:r>
      <w:r>
        <w:rPr>
          <w:rFonts w:hint="default" w:ascii="Times New Roman" w:hAnsi="Times New Roman" w:cs="Times New Roman"/>
          <w:b w:val="0"/>
          <w:bCs w:val="0"/>
        </w:rPr>
        <w:t>市场情况、交易机会、潜在需求方等信息。</w:t>
      </w:r>
    </w:p>
    <w:p w14:paraId="0CC65F18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提供订立数据交易合同的媒介服务的，应当为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提供订立合同的相关咨询和服务，协助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与第三人订立合同及办理相关手续。</w:t>
      </w:r>
    </w:p>
    <w:p w14:paraId="1563414B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</w:rPr>
        <w:t>.法律规定或者本合同约定的其他义务。</w:t>
      </w:r>
    </w:p>
    <w:p w14:paraId="284EBDE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52" w:name="_Toc1629"/>
      <w:bookmarkStart w:id="53" w:name="_Toc3456"/>
      <w:bookmarkStart w:id="54" w:name="_Toc22027"/>
      <w:bookmarkStart w:id="55" w:name="_Toc10906"/>
      <w:bookmarkStart w:id="56" w:name="_Toc25777"/>
      <w:bookmarkStart w:id="57" w:name="_Toc9508"/>
      <w:bookmarkStart w:id="58" w:name="_Toc16991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b w:val="0"/>
          <w:bCs w:val="0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条 数据安全</w:t>
      </w:r>
      <w:bookmarkEnd w:id="52"/>
      <w:bookmarkEnd w:id="53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要求</w:t>
      </w:r>
      <w:bookmarkEnd w:id="54"/>
      <w:bookmarkEnd w:id="55"/>
      <w:bookmarkEnd w:id="56"/>
      <w:bookmarkEnd w:id="57"/>
      <w:bookmarkEnd w:id="58"/>
    </w:p>
    <w:p w14:paraId="247E3D94">
      <w:pPr>
        <w:pStyle w:val="16"/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left="0" w:firstLine="600"/>
        <w:rPr>
          <w:rFonts w:hint="default" w:ascii="Times New Roman" w:hAnsi="Times New Roman" w:eastAsia="方正仿宋_GBK" w:cs="Times New Roman"/>
          <w:b w:val="0"/>
          <w:bCs w:val="0"/>
          <w:szCs w:val="3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各方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应当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严格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依据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《中华人民共和国数据安全法》《中华人民共和国个人信息保护法》《中华人民共和国网络安全法》《网络数据安全管理条例》以及其他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相关法律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法规处理标的数据。</w:t>
      </w:r>
    </w:p>
    <w:p w14:paraId="5EF349E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59" w:name="_Toc14842"/>
      <w:bookmarkStart w:id="60" w:name="_Toc20561"/>
      <w:bookmarkStart w:id="61" w:name="_Toc5169"/>
      <w:bookmarkStart w:id="62" w:name="_Toc3107"/>
      <w:bookmarkStart w:id="63" w:name="_Toc2294"/>
      <w:bookmarkStart w:id="64" w:name="_Toc23170"/>
      <w:bookmarkStart w:id="65" w:name="_Toc25564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b w:val="0"/>
          <w:bCs w:val="0"/>
          <w:lang w:val="en-US" w:eastAsia="zh-CN"/>
        </w:rPr>
        <w:t>七</w:t>
      </w: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条 知识产权</w:t>
      </w:r>
      <w:bookmarkEnd w:id="59"/>
      <w:bookmarkEnd w:id="60"/>
      <w:bookmarkEnd w:id="61"/>
      <w:bookmarkEnd w:id="62"/>
      <w:bookmarkEnd w:id="63"/>
      <w:bookmarkEnd w:id="64"/>
      <w:r>
        <w:rPr>
          <w:rFonts w:hint="eastAsia" w:ascii="Times New Roman" w:hAnsi="Times New Roman" w:eastAsia="方正楷体_GBK" w:cs="Times New Roman"/>
          <w:b w:val="0"/>
          <w:bCs w:val="0"/>
          <w:lang w:val="en-US" w:eastAsia="zh-CN"/>
        </w:rPr>
        <w:t>与商业秘密</w:t>
      </w:r>
      <w:bookmarkEnd w:id="65"/>
    </w:p>
    <w:p w14:paraId="5C51153C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保证所提供的数据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</w:rPr>
        <w:t>集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</w:rPr>
        <w:t>不侵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害</w:t>
      </w:r>
      <w:r>
        <w:rPr>
          <w:rFonts w:hint="default" w:ascii="Times New Roman" w:hAnsi="Times New Roman" w:cs="Times New Roman"/>
          <w:b w:val="0"/>
          <w:bCs w:val="0"/>
        </w:rPr>
        <w:t>任何第三方的知识产权。若因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提供的数据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</w:rPr>
        <w:t>集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</w:rPr>
        <w:t>侵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害</w:t>
      </w:r>
      <w:r>
        <w:rPr>
          <w:rFonts w:hint="default" w:ascii="Times New Roman" w:hAnsi="Times New Roman" w:cs="Times New Roman"/>
          <w:b w:val="0"/>
          <w:bCs w:val="0"/>
        </w:rPr>
        <w:t>第三方知识产权导致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遭受损失，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应负责解决纠纷并赔偿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因此遭受的所有损失。</w:t>
      </w:r>
    </w:p>
    <w:p w14:paraId="7C9165A6">
      <w:pPr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应采取合理的预防措施，保护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的知识产权不被侵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害</w:t>
      </w:r>
      <w:r>
        <w:rPr>
          <w:rFonts w:hint="default" w:ascii="Times New Roman" w:hAnsi="Times New Roman" w:cs="Times New Roman"/>
          <w:b w:val="0"/>
          <w:bCs w:val="0"/>
        </w:rPr>
        <w:t>。</w:t>
      </w:r>
    </w:p>
    <w:p w14:paraId="182153AB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eastAsia" w:ascii="Times New Roman" w:hAnsi="Times New Roman" w:eastAsia="方正仿宋_GBK" w:cs="Times New Roman"/>
          <w:b w:val="0"/>
          <w:bCs w:val="0"/>
          <w:szCs w:val="30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各方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对订立合同过程中知悉的对方的商业秘密（包括技术信息和经营信息）及双方约定的其他保密信息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如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Cs w:val="30"/>
          <w:u w:val="single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>，无论本合同是否成立，均不得泄露或者不正当使用</w:t>
      </w:r>
      <w:r>
        <w:rPr>
          <w:rFonts w:hint="default" w:ascii="Times New Roman" w:hAnsi="Times New Roman" w:cs="Times New Roman"/>
          <w:b w:val="0"/>
          <w:bCs w:val="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</w:rPr>
        <w:t>直至相关信息经合法渠道成为公开信息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lang w:eastAsia="zh-CN"/>
        </w:rPr>
        <w:t>。</w:t>
      </w:r>
    </w:p>
    <w:p w14:paraId="1639BA0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66" w:name="_Toc27338"/>
      <w:bookmarkStart w:id="67" w:name="_Toc25361"/>
      <w:bookmarkStart w:id="68" w:name="_Toc13542"/>
      <w:bookmarkStart w:id="69" w:name="_Toc416"/>
      <w:bookmarkStart w:id="70" w:name="_Toc29071"/>
      <w:bookmarkStart w:id="71" w:name="_Toc19107"/>
      <w:bookmarkStart w:id="72" w:name="_Toc18482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b w:val="0"/>
          <w:bCs w:val="0"/>
          <w:lang w:val="en-US" w:eastAsia="zh-CN"/>
        </w:rPr>
        <w:t>八</w:t>
      </w: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条 违约责任</w:t>
      </w:r>
      <w:bookmarkEnd w:id="66"/>
      <w:bookmarkEnd w:id="67"/>
      <w:bookmarkEnd w:id="68"/>
      <w:bookmarkEnd w:id="69"/>
      <w:bookmarkEnd w:id="70"/>
      <w:bookmarkEnd w:id="71"/>
      <w:bookmarkEnd w:id="72"/>
    </w:p>
    <w:p w14:paraId="73B4EC3B">
      <w:pPr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default" w:ascii="Times New Roman" w:hAnsi="Times New Roman" w:cs="Times New Roman"/>
          <w:b w:val="0"/>
          <w:bCs w:val="0"/>
          <w:szCs w:val="30"/>
        </w:rPr>
        <w:t>违约方应承担继续履行合同、采取补救措施等责任。在继续履约或者采取补救措施后，仍对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相对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方造成其他损失的，应当赔偿损失。</w:t>
      </w:r>
    </w:p>
    <w:p w14:paraId="1A81FCFC">
      <w:pPr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firstLine="600"/>
        <w:rPr>
          <w:rFonts w:hint="eastAsia" w:ascii="Times New Roman" w:hAnsi="Times New Roman" w:eastAsia="方正仿宋_GBK" w:cs="Times New Roman"/>
          <w:b w:val="0"/>
          <w:bCs w:val="0"/>
          <w:szCs w:val="30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default" w:ascii="Times New Roman" w:hAnsi="Times New Roman" w:cs="Times New Roman"/>
          <w:b w:val="0"/>
          <w:bCs w:val="0"/>
          <w:szCs w:val="30"/>
        </w:rPr>
        <w:t>一方违约后，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相对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方应采取适当措施防止损失进一步扩大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；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没有采取适当措施致使损失扩大的，不得就扩大的损失要求违约方承担赔偿责任。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相对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方为防止损失扩大而支出的合理费用由违约方承担</w:t>
      </w:r>
      <w:r>
        <w:rPr>
          <w:rFonts w:hint="eastAsia" w:ascii="Times New Roman" w:hAnsi="Times New Roman" w:cs="Times New Roman"/>
          <w:b w:val="0"/>
          <w:bCs w:val="0"/>
          <w:szCs w:val="30"/>
          <w:lang w:eastAsia="zh-CN"/>
        </w:rPr>
        <w:t>。</w:t>
      </w:r>
    </w:p>
    <w:p w14:paraId="66546F10">
      <w:pPr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  <w:szCs w:val="3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  <w:szCs w:val="30"/>
        </w:rPr>
        <w:t>泄露、不正当使用商业秘密或者保密信息，给对方造成损失的，应当承担赔偿责任。</w:t>
      </w:r>
    </w:p>
    <w:p w14:paraId="5DCEBECC">
      <w:pPr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Cs w:val="30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val="en-US" w:eastAsia="zh-CN"/>
        </w:rPr>
        <w:t>违约方无法继续履行合同的，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b w:val="0"/>
          <w:bCs w:val="0"/>
          <w:szCs w:val="30"/>
        </w:rPr>
        <w:t>。</w:t>
      </w:r>
    </w:p>
    <w:p w14:paraId="6760993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73" w:name="_Toc24277"/>
      <w:bookmarkStart w:id="74" w:name="_Toc29685"/>
      <w:bookmarkStart w:id="75" w:name="_Toc7215"/>
      <w:bookmarkStart w:id="76" w:name="_Toc4930"/>
      <w:bookmarkStart w:id="77" w:name="_Toc16162"/>
      <w:bookmarkStart w:id="78" w:name="_Toc13298"/>
      <w:bookmarkStart w:id="79" w:name="_Toc26309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b w:val="0"/>
          <w:bCs w:val="0"/>
          <w:lang w:val="en-US" w:eastAsia="zh-CN"/>
        </w:rPr>
        <w:t>九</w:t>
      </w: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条 合同的变更与解除</w:t>
      </w:r>
      <w:bookmarkEnd w:id="73"/>
      <w:bookmarkEnd w:id="74"/>
      <w:bookmarkEnd w:id="75"/>
      <w:bookmarkEnd w:id="76"/>
      <w:bookmarkEnd w:id="77"/>
      <w:bookmarkEnd w:id="78"/>
      <w:bookmarkEnd w:id="79"/>
    </w:p>
    <w:p w14:paraId="02E27D74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1.各当事人书面一致同意确认，可以补充、变更、解除本合同。</w:t>
      </w:r>
    </w:p>
    <w:p w14:paraId="33C3F043">
      <w:pPr>
        <w:pStyle w:val="16"/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left="0" w:firstLine="600"/>
        <w:rPr>
          <w:rFonts w:hint="default" w:ascii="Times New Roman" w:hAnsi="Times New Roman" w:eastAsia="方正仿宋_GBK" w:cs="Times New Roman"/>
          <w:b w:val="0"/>
          <w:bCs w:val="0"/>
          <w:szCs w:val="3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未经对方事先书面同意，任何一方不得将本合同项下的权利或义务转让给第三方。</w:t>
      </w:r>
    </w:p>
    <w:p w14:paraId="25B5F892">
      <w:pPr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  <w:szCs w:val="3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</w:rPr>
        <w:t>因不可抗力情形致使合同无法继续履行的，本合同</w:t>
      </w:r>
      <w:r>
        <w:rPr>
          <w:rFonts w:hint="default" w:ascii="Times New Roman" w:hAnsi="Times New Roman" w:cs="Times New Roman"/>
          <w:b w:val="0"/>
          <w:bCs w:val="0"/>
          <w:szCs w:val="30"/>
        </w:rPr>
        <w:t>自不可抗力发生之日起解除。当事人主张解除合同的，应当及时通知其他当事人。</w:t>
      </w:r>
    </w:p>
    <w:p w14:paraId="5D9B128A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</w:rPr>
        <w:t>.有下列情形之一的，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有权单方解除合同：</w:t>
      </w:r>
    </w:p>
    <w:p w14:paraId="13418987">
      <w:pPr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（1）标的数据的合法性、合规性、权属等方面存在重大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问题的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51D284BA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（2）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未履行合同主要义务且经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催告仍不履行义务超过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个工作日</w:t>
      </w:r>
      <w:r>
        <w:rPr>
          <w:rFonts w:hint="default" w:ascii="Times New Roman" w:hAnsi="Times New Roman" w:cs="Times New Roman"/>
          <w:b w:val="0"/>
          <w:bCs w:val="0"/>
        </w:rPr>
        <w:t>的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。</w:t>
      </w:r>
    </w:p>
    <w:p w14:paraId="20CE2C9C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</w:rPr>
        <w:t>.有下列情形之一的，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有权单方解除本合同：</w:t>
      </w:r>
    </w:p>
    <w:p w14:paraId="642D4B98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（1）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违反合同约定造成标的数据的重大泄露或滥用事件的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2DF01266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 w:firstLineChars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（2）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乙方</w:t>
      </w:r>
      <w:r>
        <w:rPr>
          <w:rFonts w:hint="default" w:ascii="Times New Roman" w:hAnsi="Times New Roman" w:cs="Times New Roman"/>
          <w:b w:val="0"/>
          <w:bCs w:val="0"/>
        </w:rPr>
        <w:t>未履行合同主要义务且经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甲方</w:t>
      </w:r>
      <w:r>
        <w:rPr>
          <w:rFonts w:hint="default" w:ascii="Times New Roman" w:hAnsi="Times New Roman" w:cs="Times New Roman"/>
          <w:b w:val="0"/>
          <w:bCs w:val="0"/>
        </w:rPr>
        <w:t>催告仍不履行义务超过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个工作日</w:t>
      </w:r>
      <w:r>
        <w:rPr>
          <w:rFonts w:hint="default" w:ascii="Times New Roman" w:hAnsi="Times New Roman" w:cs="Times New Roman"/>
          <w:b w:val="0"/>
          <w:bCs w:val="0"/>
        </w:rPr>
        <w:t>的。</w:t>
      </w:r>
    </w:p>
    <w:p w14:paraId="2147054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80" w:name="_Toc8817"/>
      <w:bookmarkStart w:id="81" w:name="_Toc15793"/>
      <w:bookmarkStart w:id="82" w:name="_Toc16488"/>
      <w:bookmarkStart w:id="83" w:name="_Toc8978"/>
      <w:bookmarkStart w:id="84" w:name="_Toc14192"/>
      <w:bookmarkStart w:id="85" w:name="_Toc5397"/>
      <w:bookmarkStart w:id="86" w:name="_Toc29636"/>
      <w:bookmarkStart w:id="87" w:name="_Toc30664"/>
      <w:bookmarkStart w:id="88" w:name="_Toc15491"/>
      <w:bookmarkStart w:id="89" w:name="_Toc8680"/>
      <w:bookmarkStart w:id="90" w:name="_Toc17764"/>
      <w:bookmarkStart w:id="91" w:name="_Toc9535"/>
      <w:bookmarkStart w:id="92" w:name="_Toc13182"/>
      <w:bookmarkStart w:id="93" w:name="_Toc9880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b w:val="0"/>
          <w:bCs w:val="0"/>
          <w:lang w:val="en-US" w:eastAsia="zh-CN"/>
        </w:rPr>
        <w:t>十</w:t>
      </w: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条 争议解决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758F794C">
      <w:pPr>
        <w:pStyle w:val="16"/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left="0" w:firstLine="600"/>
        <w:rPr>
          <w:rFonts w:hint="default" w:ascii="Times New Roman" w:hAnsi="Times New Roman" w:eastAsia="方正仿宋_GBK" w:cs="Times New Roman"/>
          <w:b w:val="0"/>
          <w:bCs w:val="0"/>
          <w:szCs w:val="3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1.因本合同引起的或与本合同有关的任何争议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val="en-US" w:eastAsia="zh-CN"/>
        </w:rPr>
        <w:t>纠纷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或索赔，各方应当积极通过友好协商解决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val="en-US" w:eastAsia="zh-CN"/>
        </w:rPr>
        <w:t>或委托第三方调解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74B5F6EB">
      <w:pPr>
        <w:pStyle w:val="16"/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left="0" w:firstLine="600"/>
        <w:rPr>
          <w:rFonts w:hint="default" w:ascii="Times New Roman" w:hAnsi="Times New Roman" w:eastAsia="方正仿宋_GBK" w:cs="Times New Roman"/>
          <w:b w:val="0"/>
          <w:bCs w:val="0"/>
          <w:szCs w:val="30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.协商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val="en-US" w:eastAsia="zh-CN"/>
        </w:rPr>
        <w:t>或调解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不成的，按照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下第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种方式解决：</w:t>
      </w:r>
    </w:p>
    <w:p w14:paraId="5B3B92BE">
      <w:pPr>
        <w:pStyle w:val="16"/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left="0" w:firstLine="600"/>
        <w:rPr>
          <w:rFonts w:hint="default" w:ascii="Times New Roman" w:hAnsi="Times New Roman" w:eastAsia="方正仿宋_GBK" w:cs="Times New Roman"/>
          <w:b w:val="0"/>
          <w:bCs w:val="0"/>
          <w:szCs w:val="3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（1）向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人民法院起诉。</w:t>
      </w:r>
    </w:p>
    <w:p w14:paraId="153E7015">
      <w:pPr>
        <w:pStyle w:val="16"/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left="0" w:firstLine="600"/>
        <w:jc w:val="left"/>
        <w:rPr>
          <w:rFonts w:hint="default" w:ascii="Times New Roman" w:hAnsi="Times New Roman" w:eastAsia="方正仿宋_GBK" w:cs="Times New Roman"/>
          <w:b w:val="0"/>
          <w:bCs w:val="0"/>
          <w:szCs w:val="3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（2）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向</w:t>
      </w:r>
      <w:r>
        <w:rPr>
          <w:rFonts w:hint="eastAsia" w:ascii="Times New Roman" w:hAnsi="Times New Roman" w:cs="Times New Roman"/>
          <w:b w:val="0"/>
          <w:bCs w:val="0"/>
          <w:szCs w:val="30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仲裁委员会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申请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仲裁。</w:t>
      </w:r>
    </w:p>
    <w:p w14:paraId="228798A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94" w:name="_Toc25632"/>
      <w:bookmarkStart w:id="95" w:name="_Toc14414"/>
      <w:bookmarkStart w:id="96" w:name="_Toc25589"/>
      <w:bookmarkStart w:id="97" w:name="_Toc32427"/>
      <w:bookmarkStart w:id="98" w:name="_Toc20758"/>
      <w:bookmarkStart w:id="99" w:name="_Toc32359"/>
      <w:bookmarkStart w:id="100" w:name="_Toc25323"/>
      <w:bookmarkStart w:id="101" w:name="_Toc32088"/>
      <w:bookmarkStart w:id="102" w:name="_Toc15948"/>
      <w:bookmarkStart w:id="103" w:name="_Toc16623"/>
      <w:bookmarkStart w:id="104" w:name="_Toc10250"/>
      <w:bookmarkStart w:id="105" w:name="_Toc31354"/>
      <w:bookmarkStart w:id="106" w:name="_Toc29209"/>
      <w:bookmarkStart w:id="107" w:name="_Toc6827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b w:val="0"/>
          <w:bCs w:val="0"/>
          <w:lang w:val="en-US" w:eastAsia="zh-CN"/>
        </w:rPr>
        <w:t>十一</w:t>
      </w: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条 其他规定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1110823D">
      <w:pPr>
        <w:pStyle w:val="16"/>
        <w:pageBreakBefore w:val="0"/>
        <w:wordWrap w:val="0"/>
        <w:overflowPunct/>
        <w:topLinePunct w:val="0"/>
        <w:bidi w:val="0"/>
        <w:adjustRightInd/>
        <w:snapToGrid w:val="0"/>
        <w:spacing w:line="588" w:lineRule="exact"/>
        <w:ind w:left="0" w:firstLine="600"/>
        <w:rPr>
          <w:rFonts w:hint="default" w:ascii="Times New Roman" w:hAnsi="Times New Roman" w:eastAsia="方正仿宋_GBK" w:cs="Times New Roman"/>
          <w:b w:val="0"/>
          <w:bCs w:val="0"/>
          <w:szCs w:val="3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1.本合同</w:t>
      </w:r>
      <w:r>
        <w:rPr>
          <w:rFonts w:hint="eastAsia" w:ascii="Times New Roman" w:hAnsi="Times New Roman" w:eastAsia="方正仿宋_GBK" w:cs="Times New Roman"/>
          <w:b w:val="0"/>
          <w:bCs w:val="0"/>
          <w:szCs w:val="30"/>
          <w:lang w:eastAsia="zh-CN"/>
        </w:rPr>
        <w:t>自</w:t>
      </w:r>
      <w:r>
        <w:rPr>
          <w:rFonts w:hint="default" w:ascii="Times New Roman" w:hAnsi="Times New Roman" w:cs="Times New Roman"/>
          <w:b w:val="0"/>
          <w:bCs w:val="0"/>
          <w:szCs w:val="30"/>
        </w:rPr>
        <w:t>双方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val="en-US" w:eastAsia="zh-CN"/>
        </w:rPr>
        <w:t>签字并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盖章之日起生效，有效期至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年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月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日止。</w:t>
      </w:r>
    </w:p>
    <w:p w14:paraId="5516A273">
      <w:pPr>
        <w:pStyle w:val="16"/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left="0" w:firstLine="600"/>
        <w:rPr>
          <w:rFonts w:hint="default" w:ascii="Times New Roman" w:hAnsi="Times New Roman" w:eastAsia="方正仿宋_GBK" w:cs="Times New Roman"/>
          <w:b w:val="0"/>
          <w:bCs w:val="0"/>
          <w:szCs w:val="3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.本合同一式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份，各方各执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份，具有同等法律效力。</w:t>
      </w:r>
    </w:p>
    <w:p w14:paraId="6743D7D4">
      <w:pPr>
        <w:pStyle w:val="16"/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left="0" w:firstLine="600"/>
        <w:rPr>
          <w:rFonts w:hint="default" w:ascii="Times New Roman" w:hAnsi="Times New Roman" w:eastAsia="方正仿宋_GBK" w:cs="Times New Roman"/>
          <w:b w:val="0"/>
          <w:bCs w:val="0"/>
          <w:szCs w:val="30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.本合同中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部分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条款被认定为无效或不可执行，不影响合同其他条款。</w:t>
      </w:r>
    </w:p>
    <w:p w14:paraId="00EF0086">
      <w:pPr>
        <w:pStyle w:val="16"/>
        <w:pageBreakBefore w:val="0"/>
        <w:pBdr>
          <w:bottom w:val="none" w:color="auto" w:sz="0" w:space="0"/>
        </w:pBdr>
        <w:wordWrap/>
        <w:overflowPunct/>
        <w:topLinePunct w:val="0"/>
        <w:bidi w:val="0"/>
        <w:adjustRightInd/>
        <w:snapToGrid w:val="0"/>
        <w:spacing w:line="588" w:lineRule="exact"/>
        <w:ind w:left="0" w:firstLine="600"/>
        <w:rPr>
          <w:rFonts w:hint="default" w:ascii="Times New Roman" w:hAnsi="Times New Roman" w:eastAsia="方正仿宋_GBK" w:cs="Times New Roman"/>
          <w:b w:val="0"/>
          <w:bCs w:val="0"/>
          <w:szCs w:val="30"/>
        </w:rPr>
      </w:pP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.本合同构成双方关于数据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/>
        </w:rPr>
        <w:t>中介服务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的完整协议，并取代双方之前的所有口头或书面协议、理解和通信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val="en-US" w:eastAsia="zh-CN"/>
        </w:rPr>
        <w:t>前述内容若与本合同约定不一致，则以本合同约定内容为准</w:t>
      </w:r>
      <w:r>
        <w:rPr>
          <w:rFonts w:hint="default" w:ascii="Times New Roman" w:hAnsi="Times New Roman" w:eastAsia="方正仿宋_GBK" w:cs="Times New Roman"/>
          <w:b w:val="0"/>
          <w:bCs w:val="0"/>
          <w:szCs w:val="30"/>
        </w:rPr>
        <w:t>。</w:t>
      </w:r>
    </w:p>
    <w:p w14:paraId="1E5143D0">
      <w:pPr>
        <w:pageBreakBefore w:val="0"/>
        <w:wordWrap/>
        <w:overflowPunct/>
        <w:topLinePunct w:val="0"/>
        <w:bidi w:val="0"/>
        <w:adjustRightInd/>
        <w:snapToGrid w:val="0"/>
        <w:spacing w:line="588" w:lineRule="exact"/>
        <w:ind w:firstLine="48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val="en-US" w:eastAsia="zh-CN"/>
        </w:rPr>
        <w:t>下接签署页</w:t>
      </w:r>
      <w:r>
        <w:rPr>
          <w:rFonts w:hint="eastAsia" w:ascii="Times New Roman" w:hAnsi="Times New Roman" w:cs="Times New Roman"/>
          <w:b w:val="0"/>
          <w:bCs w:val="0"/>
          <w:color w:val="auto"/>
          <w:szCs w:val="30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</w:rPr>
        <w:br w:type="page"/>
      </w:r>
    </w:p>
    <w:p w14:paraId="7875A4D8">
      <w:pPr>
        <w:pageBreakBefore w:val="0"/>
        <w:wordWrap/>
        <w:overflowPunct/>
        <w:topLinePunct w:val="0"/>
        <w:bidi w:val="0"/>
        <w:adjustRightInd/>
        <w:spacing w:before="101" w:line="588" w:lineRule="exact"/>
        <w:ind w:left="40" w:firstLine="480"/>
        <w:jc w:val="left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cs="Times New Roman"/>
          <w:b w:val="0"/>
          <w:bCs w:val="0"/>
        </w:rPr>
        <w:t>以下为本合同签署页，无正文。本合同签署于</w:t>
      </w:r>
      <w:r>
        <w:rPr>
          <w:rFonts w:hint="default" w:ascii="Times New Roman" w:hAnsi="Times New Roman" w:cs="Times New Roman"/>
          <w:b w:val="0"/>
          <w:bCs w:val="0"/>
          <w:sz w:val="24"/>
          <w:u w:val="single"/>
        </w:rPr>
        <w:t xml:space="preserve">       </w:t>
      </w:r>
      <w:r>
        <w:rPr>
          <w:rFonts w:hint="default" w:ascii="Times New Roman" w:hAnsi="Times New Roman" w:cs="Times New Roman"/>
          <w:b w:val="0"/>
          <w:bCs w:val="0"/>
          <w:u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填写</w:t>
      </w:r>
      <w:r>
        <w:rPr>
          <w:rFonts w:hint="default" w:ascii="Times New Roman" w:hAnsi="Times New Roman" w:cs="Times New Roman"/>
          <w:b w:val="0"/>
          <w:bCs w:val="0"/>
          <w:u w:val="none"/>
        </w:rPr>
        <w:t>具体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城市）</w:t>
      </w:r>
      <w:r>
        <w:rPr>
          <w:rFonts w:hint="default" w:ascii="Times New Roman" w:hAnsi="Times New Roman" w:cs="Times New Roman"/>
          <w:b w:val="0"/>
          <w:bCs w:val="0"/>
          <w:sz w:val="24"/>
          <w:u w:val="single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（填写</w:t>
      </w:r>
      <w:r>
        <w:rPr>
          <w:rFonts w:hint="default" w:ascii="Times New Roman" w:hAnsi="Times New Roman" w:cs="Times New Roman"/>
          <w:b w:val="0"/>
          <w:bCs w:val="0"/>
          <w:sz w:val="30"/>
          <w:u w:val="none"/>
          <w:lang w:val="en-US" w:eastAsia="zh-CN"/>
        </w:rPr>
        <w:t>具体区</w:t>
      </w:r>
      <w:r>
        <w:rPr>
          <w:rFonts w:hint="eastAsia" w:ascii="Times New Roman" w:hAnsi="Times New Roman" w:cs="Times New Roman"/>
          <w:b w:val="0"/>
          <w:bCs w:val="0"/>
          <w:sz w:val="30"/>
          <w:u w:val="none"/>
          <w:lang w:val="en-US" w:eastAsia="zh-CN"/>
        </w:rPr>
        <w:t>县</w:t>
      </w:r>
      <w:r>
        <w:rPr>
          <w:rFonts w:hint="default" w:ascii="Times New Roman" w:hAnsi="Times New Roman" w:cs="Times New Roman"/>
          <w:b w:val="0"/>
          <w:bCs w:val="0"/>
          <w:sz w:val="30"/>
          <w:u w:val="none"/>
          <w:lang w:val="en-US" w:eastAsia="zh-CN"/>
        </w:rPr>
        <w:t>）</w:t>
      </w:r>
    </w:p>
    <w:p w14:paraId="68E34418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 w:firstLineChars="200"/>
        <w:rPr>
          <w:rFonts w:hint="default" w:ascii="Times New Roman" w:hAnsi="Times New Roman" w:cs="Times New Roman"/>
          <w:b w:val="0"/>
          <w:bCs w:val="0"/>
        </w:rPr>
      </w:pPr>
    </w:p>
    <w:p w14:paraId="37282EB3">
      <w:pPr>
        <w:pageBreakBefore w:val="0"/>
        <w:wordWrap/>
        <w:overflowPunct/>
        <w:topLinePunct w:val="0"/>
        <w:bidi w:val="0"/>
        <w:adjustRightInd/>
        <w:spacing w:before="101" w:line="588" w:lineRule="exact"/>
        <w:ind w:left="40" w:firstLine="480"/>
        <w:jc w:val="center"/>
        <w:rPr>
          <w:rFonts w:hint="default" w:ascii="Times New Roman" w:hAnsi="Times New Roman" w:cs="Times New Roman"/>
          <w:b w:val="0"/>
          <w:bCs w:val="0"/>
          <w:sz w:val="24"/>
        </w:rPr>
      </w:pPr>
    </w:p>
    <w:tbl>
      <w:tblPr>
        <w:tblStyle w:val="10"/>
        <w:tblW w:w="9568" w:type="dxa"/>
        <w:tblInd w:w="-4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4"/>
        <w:gridCol w:w="4784"/>
      </w:tblGrid>
      <w:tr w14:paraId="70B0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784" w:type="dxa"/>
          </w:tcPr>
          <w:p w14:paraId="28450F5A">
            <w:pPr>
              <w:pageBreakBefore w:val="0"/>
              <w:wordWrap/>
              <w:overflowPunct/>
              <w:topLinePunct w:val="0"/>
              <w:bidi w:val="0"/>
              <w:adjustRightInd/>
              <w:spacing w:before="312" w:beforeLines="100" w:line="588" w:lineRule="exact"/>
              <w:ind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甲方：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（盖章）</w:t>
            </w:r>
          </w:p>
        </w:tc>
        <w:tc>
          <w:tcPr>
            <w:tcW w:w="4784" w:type="dxa"/>
          </w:tcPr>
          <w:p w14:paraId="3355B81E">
            <w:pPr>
              <w:pageBreakBefore w:val="0"/>
              <w:wordWrap/>
              <w:overflowPunct/>
              <w:topLinePunct w:val="0"/>
              <w:bidi w:val="0"/>
              <w:adjustRightInd/>
              <w:spacing w:before="312" w:beforeLines="100" w:line="588" w:lineRule="exact"/>
              <w:ind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乙方：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（盖章）</w:t>
            </w:r>
          </w:p>
        </w:tc>
      </w:tr>
      <w:tr w14:paraId="6305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4784" w:type="dxa"/>
          </w:tcPr>
          <w:p w14:paraId="6665767D">
            <w:pPr>
              <w:pageBreakBefore w:val="0"/>
              <w:wordWrap/>
              <w:overflowPunct/>
              <w:topLinePunct w:val="0"/>
              <w:bidi w:val="0"/>
              <w:adjustRightInd/>
              <w:spacing w:before="312" w:beforeLines="100" w:line="588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法定代表人或授权代表：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0D29DA69">
            <w:pPr>
              <w:pageBreakBefore w:val="0"/>
              <w:wordWrap/>
              <w:overflowPunct/>
              <w:topLinePunct w:val="0"/>
              <w:bidi w:val="0"/>
              <w:adjustRightInd/>
              <w:spacing w:before="312" w:beforeLines="100" w:line="588" w:lineRule="exact"/>
              <w:ind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签字/盖章）</w:t>
            </w:r>
          </w:p>
        </w:tc>
        <w:tc>
          <w:tcPr>
            <w:tcW w:w="4784" w:type="dxa"/>
          </w:tcPr>
          <w:p w14:paraId="6FB87E40">
            <w:pPr>
              <w:pageBreakBefore w:val="0"/>
              <w:wordWrap/>
              <w:overflowPunct/>
              <w:topLinePunct w:val="0"/>
              <w:bidi w:val="0"/>
              <w:adjustRightInd/>
              <w:spacing w:before="312" w:beforeLines="100" w:line="588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法定代表人或授权代表：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  <w:p w14:paraId="11ED19A0">
            <w:pPr>
              <w:pageBreakBefore w:val="0"/>
              <w:wordWrap/>
              <w:overflowPunct/>
              <w:topLinePunct w:val="0"/>
              <w:bidi w:val="0"/>
              <w:adjustRightInd/>
              <w:spacing w:before="312" w:beforeLines="100" w:line="588" w:lineRule="exact"/>
              <w:ind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（签字/盖章）</w:t>
            </w:r>
          </w:p>
        </w:tc>
      </w:tr>
      <w:tr w14:paraId="05EF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784" w:type="dxa"/>
          </w:tcPr>
          <w:p w14:paraId="05BF19B6">
            <w:pPr>
              <w:pageBreakBefore w:val="0"/>
              <w:wordWrap/>
              <w:overflowPunct/>
              <w:topLinePunct w:val="0"/>
              <w:bidi w:val="0"/>
              <w:adjustRightInd/>
              <w:spacing w:before="312" w:beforeLines="100" w:line="588" w:lineRule="exact"/>
              <w:ind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4784" w:type="dxa"/>
          </w:tcPr>
          <w:p w14:paraId="618C390B">
            <w:pPr>
              <w:pageBreakBefore w:val="0"/>
              <w:wordWrap/>
              <w:overflowPunct/>
              <w:topLinePunct w:val="0"/>
              <w:bidi w:val="0"/>
              <w:adjustRightInd/>
              <w:spacing w:before="312" w:beforeLines="100" w:line="588" w:lineRule="exact"/>
              <w:ind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日</w:t>
            </w:r>
          </w:p>
        </w:tc>
      </w:tr>
    </w:tbl>
    <w:p w14:paraId="480A8245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rPr>
          <w:rFonts w:hint="default" w:ascii="Times New Roman" w:hAnsi="Times New Roman" w:cs="Times New Roman"/>
          <w:b w:val="0"/>
          <w:bCs w:val="0"/>
        </w:rPr>
      </w:pPr>
    </w:p>
    <w:p w14:paraId="6AAFE906">
      <w:pPr>
        <w:pageBreakBefore w:val="0"/>
        <w:widowControl/>
        <w:wordWrap/>
        <w:overflowPunct/>
        <w:topLinePunct w:val="0"/>
        <w:bidi w:val="0"/>
        <w:adjustRightInd/>
        <w:spacing w:line="588" w:lineRule="exact"/>
        <w:ind w:firstLine="0" w:firstLineChars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br w:type="page"/>
      </w:r>
    </w:p>
    <w:p w14:paraId="64474874">
      <w:pPr>
        <w:widowControl/>
        <w:ind w:firstLine="0" w:firstLineChars="0"/>
        <w:outlineLvl w:val="0"/>
        <w:rPr>
          <w:rFonts w:hint="default" w:ascii="Times New Roman" w:hAnsi="Times New Roman" w:eastAsia="方正黑体_GBK" w:cs="方正黑体_GBK"/>
          <w:b w:val="0"/>
          <w:bCs w:val="0"/>
          <w:color w:val="auto"/>
          <w:szCs w:val="30"/>
        </w:rPr>
      </w:pPr>
      <w:bookmarkStart w:id="108" w:name="_Toc4484"/>
      <w:bookmarkStart w:id="109" w:name="_Toc13752"/>
      <w:bookmarkStart w:id="110" w:name="_Toc24830"/>
      <w:bookmarkStart w:id="111" w:name="_Toc15801"/>
      <w:bookmarkStart w:id="112" w:name="_Toc28103"/>
      <w:bookmarkStart w:id="113" w:name="_Toc16800"/>
      <w:bookmarkStart w:id="114" w:name="_Toc12651"/>
      <w:r>
        <w:rPr>
          <w:rFonts w:hint="default" w:ascii="Times New Roman" w:hAnsi="Times New Roman" w:eastAsia="方正黑体_GBK" w:cs="方正黑体_GBK"/>
          <w:b w:val="0"/>
          <w:bCs w:val="0"/>
          <w:color w:val="auto"/>
          <w:szCs w:val="30"/>
        </w:rPr>
        <w:t>附件 标的数据</w:t>
      </w:r>
      <w:r>
        <w:rPr>
          <w:rFonts w:hint="default" w:ascii="Times New Roman" w:hAnsi="Times New Roman" w:eastAsia="方正黑体_GBK" w:cs="方正黑体_GBK"/>
          <w:b w:val="0"/>
          <w:bCs w:val="0"/>
          <w:color w:val="auto"/>
          <w:szCs w:val="30"/>
          <w:lang w:eastAsia="zh-CN"/>
        </w:rPr>
        <w:t>的</w:t>
      </w:r>
      <w:r>
        <w:rPr>
          <w:rFonts w:hint="default" w:ascii="Times New Roman" w:hAnsi="Times New Roman" w:eastAsia="方正黑体_GBK" w:cs="方正黑体_GBK"/>
          <w:b w:val="0"/>
          <w:bCs w:val="0"/>
          <w:color w:val="auto"/>
          <w:szCs w:val="30"/>
          <w:lang w:val="en-US" w:eastAsia="zh-CN"/>
        </w:rPr>
        <w:t>详细描述</w:t>
      </w:r>
      <w:bookmarkEnd w:id="108"/>
      <w:bookmarkEnd w:id="109"/>
      <w:bookmarkEnd w:id="110"/>
      <w:bookmarkEnd w:id="111"/>
      <w:bookmarkEnd w:id="112"/>
      <w:bookmarkEnd w:id="113"/>
      <w:bookmarkEnd w:id="114"/>
    </w:p>
    <w:p w14:paraId="12A25ADD">
      <w:pPr>
        <w:pageBreakBefore w:val="0"/>
        <w:wordWrap/>
        <w:overflowPunct/>
        <w:topLinePunct w:val="0"/>
        <w:bidi w:val="0"/>
        <w:adjustRightInd/>
        <w:spacing w:line="588" w:lineRule="exact"/>
        <w:ind w:firstLine="0" w:firstLineChars="0"/>
        <w:outlineLvl w:val="9"/>
        <w:rPr>
          <w:rFonts w:hint="default" w:ascii="Times New Roman" w:hAnsi="Times New Roman" w:cs="Times New Roman"/>
          <w:b w:val="0"/>
          <w:bCs w:val="0"/>
          <w:szCs w:val="30"/>
        </w:rPr>
      </w:pP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595"/>
        <w:gridCol w:w="4670"/>
      </w:tblGrid>
      <w:tr w14:paraId="4585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A4D35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标的数据名称</w:t>
            </w:r>
          </w:p>
        </w:tc>
        <w:tc>
          <w:tcPr>
            <w:tcW w:w="2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B1265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6B6D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6B798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应用场景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ADD3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B291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6886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行业分类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585A5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447F0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3153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是否属于语料库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D58E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是/否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C5E51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8E91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3603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0DBF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模态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B8EAD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CDBD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E250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8021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应用领域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B63A3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64DA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85D5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标的数据描述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4B544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AE8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7573B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来源方式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B0F7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52A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5174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字段1名称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19987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1608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D7F9B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字段1描述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59055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DF37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955E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字段1示例值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810D7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4AD2B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3412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D47A1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FC1E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61C1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覆盖范围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9817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9BFE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CB5E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存储大小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8909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65FE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4687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更新频率</w:t>
            </w:r>
          </w:p>
        </w:tc>
        <w:tc>
          <w:tcPr>
            <w:tcW w:w="2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45892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05A4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9CE4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数据规模</w:t>
            </w:r>
          </w:p>
        </w:tc>
        <w:tc>
          <w:tcPr>
            <w:tcW w:w="2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93642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6135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68C6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数据提供方式</w:t>
            </w:r>
          </w:p>
        </w:tc>
        <w:tc>
          <w:tcPr>
            <w:tcW w:w="2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4EEE4">
            <w:pPr>
              <w:pageBreakBefore w:val="0"/>
              <w:widowControl/>
              <w:wordWrap/>
              <w:overflowPunct/>
              <w:topLinePunct w:val="0"/>
              <w:bidi w:val="0"/>
              <w:adjustRightInd/>
              <w:spacing w:line="588" w:lineRule="exact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30"/>
              </w:rPr>
              <w:t>数据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30"/>
                <w:lang w:val="en-US" w:eastAsia="zh-CN"/>
              </w:rPr>
              <w:t>集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30"/>
                <w:lang w:val="en-US" w:eastAsia="zh-CN"/>
              </w:rPr>
              <w:t>API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30"/>
              </w:rPr>
              <w:t>其他</w:t>
            </w:r>
          </w:p>
        </w:tc>
      </w:tr>
    </w:tbl>
    <w:p w14:paraId="683A7260">
      <w:pPr>
        <w:pageBreakBefore w:val="0"/>
        <w:wordWrap/>
        <w:overflowPunct/>
        <w:topLinePunct w:val="0"/>
        <w:bidi w:val="0"/>
        <w:adjustRightInd/>
        <w:spacing w:line="588" w:lineRule="exact"/>
        <w:ind w:firstLine="600" w:firstLineChars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*以上信息可用于对外展示</w:t>
      </w:r>
    </w:p>
    <w:sectPr>
      <w:headerReference r:id="rId7" w:type="default"/>
      <w:footerReference r:id="rId8" w:type="default"/>
      <w:pgSz w:w="11906" w:h="16838"/>
      <w:pgMar w:top="1984" w:right="1616" w:bottom="1814" w:left="1616" w:header="851" w:footer="1474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9EFDFCA-B8DB-4055-BE93-94918AD7823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284056E-164F-45C5-A089-936E5A7A92E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FE9205E-469E-4D84-AB14-3EBAAE446F5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E871460-2E86-477A-B2D6-43DD892D9E8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A439D42-CF35-44E1-8369-D8087AD8DA5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EDA0A97D-30BF-4E58-94C1-B92505BFCC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7A3F7CD2-8C0D-4373-A1DA-63B1D541B0FF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C0220B0B-7122-4DA3-AF87-387B9D5773F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9" w:fontKey="{723BFD81-7DF0-4EFA-AC6F-32EA022D9D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1D30C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jc w:val="center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D2E1F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jc w:val="center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B031F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B031F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89E3A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D52F0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6A2B0"/>
    <w:multiLevelType w:val="singleLevel"/>
    <w:tmpl w:val="AD26A2B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MjMxYmJhYjczMTZhY2ZkZTRjZTM3ZjMyMjljZTIifQ=="/>
  </w:docVars>
  <w:rsids>
    <w:rsidRoot w:val="71103CDC"/>
    <w:rsid w:val="00127092"/>
    <w:rsid w:val="004E4806"/>
    <w:rsid w:val="0076567C"/>
    <w:rsid w:val="00971952"/>
    <w:rsid w:val="00D40D69"/>
    <w:rsid w:val="01854685"/>
    <w:rsid w:val="02225B04"/>
    <w:rsid w:val="02301FCF"/>
    <w:rsid w:val="02A91D81"/>
    <w:rsid w:val="032064E7"/>
    <w:rsid w:val="03217B69"/>
    <w:rsid w:val="036C2302"/>
    <w:rsid w:val="036F2FCB"/>
    <w:rsid w:val="039A1E78"/>
    <w:rsid w:val="03E5160F"/>
    <w:rsid w:val="04137DFA"/>
    <w:rsid w:val="04425FE9"/>
    <w:rsid w:val="04554F17"/>
    <w:rsid w:val="046B19E4"/>
    <w:rsid w:val="046F0833"/>
    <w:rsid w:val="04C42EA2"/>
    <w:rsid w:val="04D05CEB"/>
    <w:rsid w:val="04D122D2"/>
    <w:rsid w:val="04DF1A8A"/>
    <w:rsid w:val="04F27A0F"/>
    <w:rsid w:val="04FE4606"/>
    <w:rsid w:val="05263B5D"/>
    <w:rsid w:val="05316A5B"/>
    <w:rsid w:val="053E4A03"/>
    <w:rsid w:val="055C757F"/>
    <w:rsid w:val="056F72B2"/>
    <w:rsid w:val="058A119C"/>
    <w:rsid w:val="05C80770"/>
    <w:rsid w:val="061646F6"/>
    <w:rsid w:val="06510766"/>
    <w:rsid w:val="065E2E82"/>
    <w:rsid w:val="066B5CCB"/>
    <w:rsid w:val="06824DC3"/>
    <w:rsid w:val="07222102"/>
    <w:rsid w:val="07573D64"/>
    <w:rsid w:val="07927288"/>
    <w:rsid w:val="080737D2"/>
    <w:rsid w:val="08161C67"/>
    <w:rsid w:val="082F15AE"/>
    <w:rsid w:val="08577B45"/>
    <w:rsid w:val="08C607F0"/>
    <w:rsid w:val="09434CDD"/>
    <w:rsid w:val="09B079C5"/>
    <w:rsid w:val="09E33DCA"/>
    <w:rsid w:val="0A4707FD"/>
    <w:rsid w:val="0A8C730D"/>
    <w:rsid w:val="0AA90B70"/>
    <w:rsid w:val="0AD96F7B"/>
    <w:rsid w:val="0B811AED"/>
    <w:rsid w:val="0BCD6AE0"/>
    <w:rsid w:val="0C2661F0"/>
    <w:rsid w:val="0C6311CE"/>
    <w:rsid w:val="0C8F1FE8"/>
    <w:rsid w:val="0CCA0FE7"/>
    <w:rsid w:val="0CEA19A8"/>
    <w:rsid w:val="0DA25D4B"/>
    <w:rsid w:val="0DDA3736"/>
    <w:rsid w:val="0E083E00"/>
    <w:rsid w:val="0E0C45F5"/>
    <w:rsid w:val="0E355A38"/>
    <w:rsid w:val="0E417312"/>
    <w:rsid w:val="0E8536A2"/>
    <w:rsid w:val="0E923C84"/>
    <w:rsid w:val="0F522A6F"/>
    <w:rsid w:val="0F900551"/>
    <w:rsid w:val="10022AD1"/>
    <w:rsid w:val="102D5D9F"/>
    <w:rsid w:val="10391350"/>
    <w:rsid w:val="1066636A"/>
    <w:rsid w:val="10BE38BB"/>
    <w:rsid w:val="10CF32FA"/>
    <w:rsid w:val="10D17073"/>
    <w:rsid w:val="10EB1450"/>
    <w:rsid w:val="110E6CAE"/>
    <w:rsid w:val="114A2F56"/>
    <w:rsid w:val="114F7F97"/>
    <w:rsid w:val="11C91AF8"/>
    <w:rsid w:val="12353631"/>
    <w:rsid w:val="12933875"/>
    <w:rsid w:val="12C02EFB"/>
    <w:rsid w:val="12C10A21"/>
    <w:rsid w:val="12E27315"/>
    <w:rsid w:val="13201BEB"/>
    <w:rsid w:val="13274D28"/>
    <w:rsid w:val="132F04AB"/>
    <w:rsid w:val="138A3509"/>
    <w:rsid w:val="138A52B7"/>
    <w:rsid w:val="13A17F79"/>
    <w:rsid w:val="13F54F1B"/>
    <w:rsid w:val="14505A2A"/>
    <w:rsid w:val="145F6743"/>
    <w:rsid w:val="146D55B3"/>
    <w:rsid w:val="1481490C"/>
    <w:rsid w:val="14CD18FF"/>
    <w:rsid w:val="15514605"/>
    <w:rsid w:val="155E4C4D"/>
    <w:rsid w:val="15791A87"/>
    <w:rsid w:val="15C47E53"/>
    <w:rsid w:val="15DA0777"/>
    <w:rsid w:val="160A26DF"/>
    <w:rsid w:val="161F262E"/>
    <w:rsid w:val="16E20C5C"/>
    <w:rsid w:val="1767428D"/>
    <w:rsid w:val="17D17958"/>
    <w:rsid w:val="182932F0"/>
    <w:rsid w:val="185A5BA0"/>
    <w:rsid w:val="18932E95"/>
    <w:rsid w:val="18D019BE"/>
    <w:rsid w:val="18D64E71"/>
    <w:rsid w:val="18E436BB"/>
    <w:rsid w:val="18E910F9"/>
    <w:rsid w:val="19017821"/>
    <w:rsid w:val="190D59A2"/>
    <w:rsid w:val="19314B52"/>
    <w:rsid w:val="194859F8"/>
    <w:rsid w:val="19866520"/>
    <w:rsid w:val="19872FFF"/>
    <w:rsid w:val="19923117"/>
    <w:rsid w:val="19B37C2F"/>
    <w:rsid w:val="1A3348FA"/>
    <w:rsid w:val="1A6E148E"/>
    <w:rsid w:val="1A9A6727"/>
    <w:rsid w:val="1AAE5D2F"/>
    <w:rsid w:val="1AE31E7C"/>
    <w:rsid w:val="1AED2CFB"/>
    <w:rsid w:val="1AF06347"/>
    <w:rsid w:val="1AF31ACB"/>
    <w:rsid w:val="1B1A7868"/>
    <w:rsid w:val="1C7312DA"/>
    <w:rsid w:val="1CB3584A"/>
    <w:rsid w:val="1D717978"/>
    <w:rsid w:val="1E0D5462"/>
    <w:rsid w:val="1E2E38DC"/>
    <w:rsid w:val="1E6257AE"/>
    <w:rsid w:val="1E935967"/>
    <w:rsid w:val="1ED85A70"/>
    <w:rsid w:val="1F295D83"/>
    <w:rsid w:val="1F3BBF67"/>
    <w:rsid w:val="1F5275D0"/>
    <w:rsid w:val="1F6577C8"/>
    <w:rsid w:val="1F817EB6"/>
    <w:rsid w:val="1FD37529"/>
    <w:rsid w:val="1FDF119C"/>
    <w:rsid w:val="201C373B"/>
    <w:rsid w:val="20222593"/>
    <w:rsid w:val="2055020E"/>
    <w:rsid w:val="20C53DD2"/>
    <w:rsid w:val="20C626AD"/>
    <w:rsid w:val="20ED0785"/>
    <w:rsid w:val="20F879E3"/>
    <w:rsid w:val="21093CBF"/>
    <w:rsid w:val="213E1637"/>
    <w:rsid w:val="21582E98"/>
    <w:rsid w:val="21792FBB"/>
    <w:rsid w:val="217E36B8"/>
    <w:rsid w:val="22266AF2"/>
    <w:rsid w:val="227948DB"/>
    <w:rsid w:val="22A068A5"/>
    <w:rsid w:val="22A31981"/>
    <w:rsid w:val="22CC31F6"/>
    <w:rsid w:val="23160915"/>
    <w:rsid w:val="2369313B"/>
    <w:rsid w:val="236B621A"/>
    <w:rsid w:val="23A221A9"/>
    <w:rsid w:val="23A753BA"/>
    <w:rsid w:val="23A81EB5"/>
    <w:rsid w:val="23E10F23"/>
    <w:rsid w:val="24BC54EC"/>
    <w:rsid w:val="25386CB4"/>
    <w:rsid w:val="25E96476"/>
    <w:rsid w:val="260B672B"/>
    <w:rsid w:val="263F0183"/>
    <w:rsid w:val="2680161F"/>
    <w:rsid w:val="278B7934"/>
    <w:rsid w:val="27B150B0"/>
    <w:rsid w:val="27CD1B67"/>
    <w:rsid w:val="27EC4EA2"/>
    <w:rsid w:val="27F8340D"/>
    <w:rsid w:val="28072F22"/>
    <w:rsid w:val="281F4E60"/>
    <w:rsid w:val="288B76AF"/>
    <w:rsid w:val="28BC5ABB"/>
    <w:rsid w:val="28E219C5"/>
    <w:rsid w:val="29820AB2"/>
    <w:rsid w:val="29C4731D"/>
    <w:rsid w:val="2A30050E"/>
    <w:rsid w:val="2A327E1E"/>
    <w:rsid w:val="2A350D21"/>
    <w:rsid w:val="2A88034A"/>
    <w:rsid w:val="2A9A62D0"/>
    <w:rsid w:val="2ABE0808"/>
    <w:rsid w:val="2ACD4090"/>
    <w:rsid w:val="2B2636BF"/>
    <w:rsid w:val="2B265C35"/>
    <w:rsid w:val="2BED3731"/>
    <w:rsid w:val="2CBB79FD"/>
    <w:rsid w:val="2D205F22"/>
    <w:rsid w:val="2D572256"/>
    <w:rsid w:val="2DA32DF9"/>
    <w:rsid w:val="2DAD00C8"/>
    <w:rsid w:val="2E1E3F27"/>
    <w:rsid w:val="2E220AB6"/>
    <w:rsid w:val="2E975000"/>
    <w:rsid w:val="2EB72FAC"/>
    <w:rsid w:val="2F3E191F"/>
    <w:rsid w:val="2F5F6ACA"/>
    <w:rsid w:val="2F833CEA"/>
    <w:rsid w:val="2FD568C9"/>
    <w:rsid w:val="2FEC4BB5"/>
    <w:rsid w:val="2FF2504A"/>
    <w:rsid w:val="300E7305"/>
    <w:rsid w:val="30105AEE"/>
    <w:rsid w:val="30466CDD"/>
    <w:rsid w:val="30696528"/>
    <w:rsid w:val="315E338F"/>
    <w:rsid w:val="316E6914"/>
    <w:rsid w:val="31B859B9"/>
    <w:rsid w:val="31D6487C"/>
    <w:rsid w:val="320F30FF"/>
    <w:rsid w:val="32193F7E"/>
    <w:rsid w:val="32A61CB5"/>
    <w:rsid w:val="32D103B5"/>
    <w:rsid w:val="332211B6"/>
    <w:rsid w:val="33613D1A"/>
    <w:rsid w:val="3369683F"/>
    <w:rsid w:val="33707BCD"/>
    <w:rsid w:val="337B4EF0"/>
    <w:rsid w:val="338B4A07"/>
    <w:rsid w:val="33BC2E13"/>
    <w:rsid w:val="33DC625B"/>
    <w:rsid w:val="33FC76B3"/>
    <w:rsid w:val="34012BCE"/>
    <w:rsid w:val="34157E83"/>
    <w:rsid w:val="34525525"/>
    <w:rsid w:val="34CC52D7"/>
    <w:rsid w:val="34FA0097"/>
    <w:rsid w:val="35AF53FC"/>
    <w:rsid w:val="36301896"/>
    <w:rsid w:val="364C0923"/>
    <w:rsid w:val="364D1F1A"/>
    <w:rsid w:val="366003CD"/>
    <w:rsid w:val="369D23B3"/>
    <w:rsid w:val="36A007CA"/>
    <w:rsid w:val="36E7199B"/>
    <w:rsid w:val="36FE5155"/>
    <w:rsid w:val="37074CED"/>
    <w:rsid w:val="37A3563C"/>
    <w:rsid w:val="37BC9522"/>
    <w:rsid w:val="37C130EE"/>
    <w:rsid w:val="37CD1A92"/>
    <w:rsid w:val="37ED3EE3"/>
    <w:rsid w:val="38CF35E8"/>
    <w:rsid w:val="38FE5355"/>
    <w:rsid w:val="391E1E7A"/>
    <w:rsid w:val="394915ED"/>
    <w:rsid w:val="398777B2"/>
    <w:rsid w:val="39B06F76"/>
    <w:rsid w:val="39BF365D"/>
    <w:rsid w:val="39E7368D"/>
    <w:rsid w:val="3A2E3EE4"/>
    <w:rsid w:val="3A483652"/>
    <w:rsid w:val="3AA12A0F"/>
    <w:rsid w:val="3AF37ECE"/>
    <w:rsid w:val="3B251BE5"/>
    <w:rsid w:val="3B5D0A06"/>
    <w:rsid w:val="3BA23454"/>
    <w:rsid w:val="3C2E6878"/>
    <w:rsid w:val="3C357C06"/>
    <w:rsid w:val="3C9C792E"/>
    <w:rsid w:val="3CC24359"/>
    <w:rsid w:val="3CED04E1"/>
    <w:rsid w:val="3D32689A"/>
    <w:rsid w:val="3D3576E6"/>
    <w:rsid w:val="3D3AB158"/>
    <w:rsid w:val="3D6C1A7C"/>
    <w:rsid w:val="3D8F3346"/>
    <w:rsid w:val="3DAB63D2"/>
    <w:rsid w:val="3E0F3A5D"/>
    <w:rsid w:val="3E216694"/>
    <w:rsid w:val="3E263CAA"/>
    <w:rsid w:val="3E565E71"/>
    <w:rsid w:val="3E5F4116"/>
    <w:rsid w:val="3E9C1172"/>
    <w:rsid w:val="3EF23B8C"/>
    <w:rsid w:val="3F4008F7"/>
    <w:rsid w:val="3F803611"/>
    <w:rsid w:val="3F823162"/>
    <w:rsid w:val="3F942E96"/>
    <w:rsid w:val="3F95733A"/>
    <w:rsid w:val="3FB96E23"/>
    <w:rsid w:val="3FBE8BE4"/>
    <w:rsid w:val="3FC27A03"/>
    <w:rsid w:val="3FFBDE6A"/>
    <w:rsid w:val="402959B3"/>
    <w:rsid w:val="40405DFA"/>
    <w:rsid w:val="40445CE2"/>
    <w:rsid w:val="4087185C"/>
    <w:rsid w:val="40AB4E52"/>
    <w:rsid w:val="40B40880"/>
    <w:rsid w:val="410332AB"/>
    <w:rsid w:val="414032D5"/>
    <w:rsid w:val="4143580B"/>
    <w:rsid w:val="417C5C64"/>
    <w:rsid w:val="41870F04"/>
    <w:rsid w:val="41AE3075"/>
    <w:rsid w:val="41BC19E7"/>
    <w:rsid w:val="41FB36A0"/>
    <w:rsid w:val="42407FBF"/>
    <w:rsid w:val="429A6A15"/>
    <w:rsid w:val="42AB7D64"/>
    <w:rsid w:val="42D34BD2"/>
    <w:rsid w:val="42DC0850"/>
    <w:rsid w:val="433E1A96"/>
    <w:rsid w:val="433E3BB3"/>
    <w:rsid w:val="43735990"/>
    <w:rsid w:val="43784C1E"/>
    <w:rsid w:val="444F0847"/>
    <w:rsid w:val="4484172B"/>
    <w:rsid w:val="454615A7"/>
    <w:rsid w:val="454C43FF"/>
    <w:rsid w:val="45513D03"/>
    <w:rsid w:val="46364CA7"/>
    <w:rsid w:val="46733805"/>
    <w:rsid w:val="46C6468B"/>
    <w:rsid w:val="46F801AE"/>
    <w:rsid w:val="474653BD"/>
    <w:rsid w:val="477F442B"/>
    <w:rsid w:val="48343468"/>
    <w:rsid w:val="483671E0"/>
    <w:rsid w:val="48580E9D"/>
    <w:rsid w:val="487B2FD7"/>
    <w:rsid w:val="488E0DCA"/>
    <w:rsid w:val="48AE321A"/>
    <w:rsid w:val="4907292A"/>
    <w:rsid w:val="491906C2"/>
    <w:rsid w:val="498126DD"/>
    <w:rsid w:val="498323D0"/>
    <w:rsid w:val="499E328F"/>
    <w:rsid w:val="49A14B2D"/>
    <w:rsid w:val="49CF0524"/>
    <w:rsid w:val="4A2C2648"/>
    <w:rsid w:val="4AA448D5"/>
    <w:rsid w:val="4AE128D3"/>
    <w:rsid w:val="4B58746D"/>
    <w:rsid w:val="4B68207B"/>
    <w:rsid w:val="4B814C16"/>
    <w:rsid w:val="4B8D07C7"/>
    <w:rsid w:val="4BF54CBC"/>
    <w:rsid w:val="4C0849EF"/>
    <w:rsid w:val="4C1635B0"/>
    <w:rsid w:val="4C277895"/>
    <w:rsid w:val="4C5440D8"/>
    <w:rsid w:val="4D221AE1"/>
    <w:rsid w:val="4D892A15"/>
    <w:rsid w:val="4E235B10"/>
    <w:rsid w:val="4E3C3076"/>
    <w:rsid w:val="4E7D4251"/>
    <w:rsid w:val="4EDD03B5"/>
    <w:rsid w:val="4EEF327C"/>
    <w:rsid w:val="4EFE05CC"/>
    <w:rsid w:val="4F0F2539"/>
    <w:rsid w:val="4F165675"/>
    <w:rsid w:val="4F387505"/>
    <w:rsid w:val="4F4421E2"/>
    <w:rsid w:val="4F59033E"/>
    <w:rsid w:val="4F801100"/>
    <w:rsid w:val="4FCD667C"/>
    <w:rsid w:val="50974594"/>
    <w:rsid w:val="512C240E"/>
    <w:rsid w:val="5144296E"/>
    <w:rsid w:val="51750D79"/>
    <w:rsid w:val="51960CEF"/>
    <w:rsid w:val="51BD627C"/>
    <w:rsid w:val="51D75590"/>
    <w:rsid w:val="520F364E"/>
    <w:rsid w:val="52291B63"/>
    <w:rsid w:val="522F5FCA"/>
    <w:rsid w:val="533E519B"/>
    <w:rsid w:val="534F73A8"/>
    <w:rsid w:val="53514ECE"/>
    <w:rsid w:val="53890B0C"/>
    <w:rsid w:val="539545D7"/>
    <w:rsid w:val="541A5C08"/>
    <w:rsid w:val="541F4957"/>
    <w:rsid w:val="54262D97"/>
    <w:rsid w:val="54A84FC1"/>
    <w:rsid w:val="54E65AEA"/>
    <w:rsid w:val="550E41B8"/>
    <w:rsid w:val="55313209"/>
    <w:rsid w:val="55490C08"/>
    <w:rsid w:val="55CF5338"/>
    <w:rsid w:val="55F37FB3"/>
    <w:rsid w:val="56A17F1A"/>
    <w:rsid w:val="56F1728C"/>
    <w:rsid w:val="57272B15"/>
    <w:rsid w:val="572F367E"/>
    <w:rsid w:val="578A30A4"/>
    <w:rsid w:val="578F4217"/>
    <w:rsid w:val="57E36310"/>
    <w:rsid w:val="5805272B"/>
    <w:rsid w:val="583059FA"/>
    <w:rsid w:val="585B234B"/>
    <w:rsid w:val="585C2CD4"/>
    <w:rsid w:val="592D6773"/>
    <w:rsid w:val="59354090"/>
    <w:rsid w:val="59C363FA"/>
    <w:rsid w:val="5A4827DB"/>
    <w:rsid w:val="5A492DA3"/>
    <w:rsid w:val="5A504131"/>
    <w:rsid w:val="5AD52888"/>
    <w:rsid w:val="5AEE74A6"/>
    <w:rsid w:val="5B1433B1"/>
    <w:rsid w:val="5BD62414"/>
    <w:rsid w:val="5C78171D"/>
    <w:rsid w:val="5C8567D6"/>
    <w:rsid w:val="5CE46DB3"/>
    <w:rsid w:val="5CFFB93D"/>
    <w:rsid w:val="5D0631CD"/>
    <w:rsid w:val="5D261CFE"/>
    <w:rsid w:val="5D3A4C25"/>
    <w:rsid w:val="5DD72F73"/>
    <w:rsid w:val="5EB82CA8"/>
    <w:rsid w:val="5F50072F"/>
    <w:rsid w:val="5F56076B"/>
    <w:rsid w:val="5F7268F8"/>
    <w:rsid w:val="5F7408C2"/>
    <w:rsid w:val="5F8A2976"/>
    <w:rsid w:val="603242D9"/>
    <w:rsid w:val="60352C65"/>
    <w:rsid w:val="604B0C5A"/>
    <w:rsid w:val="60A94C3A"/>
    <w:rsid w:val="60A96349"/>
    <w:rsid w:val="60F63558"/>
    <w:rsid w:val="61453B98"/>
    <w:rsid w:val="61477910"/>
    <w:rsid w:val="617821BF"/>
    <w:rsid w:val="617F26BA"/>
    <w:rsid w:val="61B34FA6"/>
    <w:rsid w:val="61EF4230"/>
    <w:rsid w:val="62194B7D"/>
    <w:rsid w:val="625E7607"/>
    <w:rsid w:val="629717CB"/>
    <w:rsid w:val="62CC27C3"/>
    <w:rsid w:val="62CC4571"/>
    <w:rsid w:val="632223E3"/>
    <w:rsid w:val="63520F1A"/>
    <w:rsid w:val="63E16131"/>
    <w:rsid w:val="6461518D"/>
    <w:rsid w:val="646D2E86"/>
    <w:rsid w:val="648D1AF3"/>
    <w:rsid w:val="65197815"/>
    <w:rsid w:val="6529347D"/>
    <w:rsid w:val="65A076E1"/>
    <w:rsid w:val="65A96DEB"/>
    <w:rsid w:val="65F71905"/>
    <w:rsid w:val="66083323"/>
    <w:rsid w:val="6647649F"/>
    <w:rsid w:val="66D720EC"/>
    <w:rsid w:val="66F22843"/>
    <w:rsid w:val="67E45EB9"/>
    <w:rsid w:val="67FA4FF2"/>
    <w:rsid w:val="680A03BE"/>
    <w:rsid w:val="68464DC5"/>
    <w:rsid w:val="68A45648"/>
    <w:rsid w:val="68C857DA"/>
    <w:rsid w:val="68E63EB3"/>
    <w:rsid w:val="690D143F"/>
    <w:rsid w:val="692239A4"/>
    <w:rsid w:val="69EE74C3"/>
    <w:rsid w:val="69EF7F55"/>
    <w:rsid w:val="6A144643"/>
    <w:rsid w:val="6A171BD0"/>
    <w:rsid w:val="6A2E0C79"/>
    <w:rsid w:val="6A3A2708"/>
    <w:rsid w:val="6A6E2346"/>
    <w:rsid w:val="6A971908"/>
    <w:rsid w:val="6AD14E1A"/>
    <w:rsid w:val="6BB34520"/>
    <w:rsid w:val="6C00528B"/>
    <w:rsid w:val="6C134FBF"/>
    <w:rsid w:val="6C4F4553"/>
    <w:rsid w:val="6C81461E"/>
    <w:rsid w:val="6CCD097D"/>
    <w:rsid w:val="6CCD33BF"/>
    <w:rsid w:val="6CD56718"/>
    <w:rsid w:val="6CE07597"/>
    <w:rsid w:val="6D0E5786"/>
    <w:rsid w:val="6D3F0189"/>
    <w:rsid w:val="6D783D26"/>
    <w:rsid w:val="6DCC0119"/>
    <w:rsid w:val="6DE07122"/>
    <w:rsid w:val="6DEC1F6B"/>
    <w:rsid w:val="6DFC64FD"/>
    <w:rsid w:val="6E780AC4"/>
    <w:rsid w:val="6EED1AF7"/>
    <w:rsid w:val="6F125A01"/>
    <w:rsid w:val="6FAC7C04"/>
    <w:rsid w:val="6FB90A4D"/>
    <w:rsid w:val="6FC46BA2"/>
    <w:rsid w:val="6FEE1FCA"/>
    <w:rsid w:val="7000585A"/>
    <w:rsid w:val="70335C2F"/>
    <w:rsid w:val="7040659E"/>
    <w:rsid w:val="7056191E"/>
    <w:rsid w:val="70B266C4"/>
    <w:rsid w:val="70B825D8"/>
    <w:rsid w:val="70CB1231"/>
    <w:rsid w:val="70F058CE"/>
    <w:rsid w:val="71103CDC"/>
    <w:rsid w:val="7156627F"/>
    <w:rsid w:val="71595567"/>
    <w:rsid w:val="715C0189"/>
    <w:rsid w:val="715E6CDC"/>
    <w:rsid w:val="71740208"/>
    <w:rsid w:val="71DB032D"/>
    <w:rsid w:val="72165809"/>
    <w:rsid w:val="72590ECB"/>
    <w:rsid w:val="726C1AA8"/>
    <w:rsid w:val="728E1310"/>
    <w:rsid w:val="72F01BB6"/>
    <w:rsid w:val="72F623CA"/>
    <w:rsid w:val="72FB055A"/>
    <w:rsid w:val="731C6E4F"/>
    <w:rsid w:val="732950C8"/>
    <w:rsid w:val="73592862"/>
    <w:rsid w:val="74AA2238"/>
    <w:rsid w:val="74D86DA5"/>
    <w:rsid w:val="75387844"/>
    <w:rsid w:val="754A5D88"/>
    <w:rsid w:val="75703D26"/>
    <w:rsid w:val="75AA6994"/>
    <w:rsid w:val="75AE2FB9"/>
    <w:rsid w:val="7607152B"/>
    <w:rsid w:val="77207080"/>
    <w:rsid w:val="77212C85"/>
    <w:rsid w:val="775546DD"/>
    <w:rsid w:val="776D6503"/>
    <w:rsid w:val="77844C41"/>
    <w:rsid w:val="77EB0BD6"/>
    <w:rsid w:val="78232A2D"/>
    <w:rsid w:val="782C269B"/>
    <w:rsid w:val="788B321A"/>
    <w:rsid w:val="78F63C9E"/>
    <w:rsid w:val="79256331"/>
    <w:rsid w:val="7A057501"/>
    <w:rsid w:val="7A293BFF"/>
    <w:rsid w:val="7A552C46"/>
    <w:rsid w:val="7A937D92"/>
    <w:rsid w:val="7AA31C03"/>
    <w:rsid w:val="7ACB4CB6"/>
    <w:rsid w:val="7B916383"/>
    <w:rsid w:val="7BA23C69"/>
    <w:rsid w:val="7BF63811"/>
    <w:rsid w:val="7C1B0B02"/>
    <w:rsid w:val="7C492337"/>
    <w:rsid w:val="7C5331B5"/>
    <w:rsid w:val="7C7E6484"/>
    <w:rsid w:val="7CC84148"/>
    <w:rsid w:val="7D781125"/>
    <w:rsid w:val="7D7D1536"/>
    <w:rsid w:val="7DFF3813"/>
    <w:rsid w:val="7E372D8F"/>
    <w:rsid w:val="7E861620"/>
    <w:rsid w:val="7E8F4979"/>
    <w:rsid w:val="7EBC7738"/>
    <w:rsid w:val="7F1B3942"/>
    <w:rsid w:val="7F3826C5"/>
    <w:rsid w:val="7FDF723A"/>
    <w:rsid w:val="7FFEA0E0"/>
    <w:rsid w:val="BBF35FE5"/>
    <w:rsid w:val="BFD5D0BF"/>
    <w:rsid w:val="BFF3862B"/>
    <w:rsid w:val="D5E78B8C"/>
    <w:rsid w:val="D7FEACE4"/>
    <w:rsid w:val="DB3E423C"/>
    <w:rsid w:val="DBAA002E"/>
    <w:rsid w:val="DF37BB97"/>
    <w:rsid w:val="DF7C1B33"/>
    <w:rsid w:val="DFCBA2FE"/>
    <w:rsid w:val="EBB29CCF"/>
    <w:rsid w:val="EEDF5034"/>
    <w:rsid w:val="F5AE24DF"/>
    <w:rsid w:val="F5F77C88"/>
    <w:rsid w:val="F7FF01E7"/>
    <w:rsid w:val="FEFE6E2F"/>
    <w:rsid w:val="FF96EBF7"/>
    <w:rsid w:val="FFDC9B26"/>
    <w:rsid w:val="FFFDB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ind w:firstLine="1040" w:firstLineChars="200"/>
      <w:jc w:val="both"/>
    </w:pPr>
    <w:rPr>
      <w:rFonts w:eastAsia="方正仿宋_GBK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黑体_GBK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723"/>
      <w:jc w:val="left"/>
      <w:outlineLvl w:val="1"/>
    </w:pPr>
    <w:rPr>
      <w:rFonts w:ascii="Arial" w:hAnsi="Arial" w:eastAsia="方正楷体_GBK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方正楷体_GBK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16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1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eastAsia="方正仿宋_GBK" w:asciiTheme="minorHAnsi" w:hAnsiTheme="minorHAnsi" w:cstheme="minorBidi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4353</Words>
  <Characters>4416</Characters>
  <Lines>66</Lines>
  <Paragraphs>18</Paragraphs>
  <TotalTime>0</TotalTime>
  <ScaleCrop>false</ScaleCrop>
  <LinksUpToDate>false</LinksUpToDate>
  <CharactersWithSpaces>6454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2025-04-03T17:21:00Z</dcterms:created>
  <dc:creator>LI Zhuofan</dc:creator>
  <cp:lastModifiedBy>XYJ</cp:lastModifiedBy>
  <dcterms:modified xsi:type="dcterms:W3CDTF">2025-07-04T06:51:07Z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AAB6AF70B6ED46E4B59393E1E7E4B1FA_13</vt:lpwstr>
  </property>
  <property fmtid="{D5CDD505-2E9C-101B-9397-08002B2CF9AE}" pid="4" name="KSOTemplateDocerSaveRecord">
    <vt:lpwstr>eyJoZGlkIjoiZTkxNTIxMGQ3NTZlOWUxM2JiMzY3ZjM2ZDU0NjM4NDMiLCJ1c2VySWQiOiIyOTUyNTUxOTAifQ==</vt:lpwstr>
  </property>
</Properties>
</file>